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04C4" w14:textId="2E0ECEA2" w:rsidR="00E81487" w:rsidRDefault="00CB3497" w:rsidP="003969EF">
      <w:pPr>
        <w:spacing w:after="0" w:line="259" w:lineRule="auto"/>
        <w:ind w:left="0" w:right="102" w:firstLine="0"/>
        <w:jc w:val="center"/>
      </w:pPr>
      <w:r>
        <w:rPr>
          <w:b/>
          <w:sz w:val="72"/>
        </w:rPr>
        <w:t>Whistle-blowing policy</w:t>
      </w:r>
    </w:p>
    <w:p w14:paraId="3160B270" w14:textId="04EC02A0" w:rsidR="00E81487" w:rsidRDefault="00CB3497" w:rsidP="003969EF">
      <w:pPr>
        <w:spacing w:after="162" w:line="259" w:lineRule="auto"/>
        <w:ind w:left="62" w:right="102" w:firstLine="0"/>
        <w:jc w:val="center"/>
        <w:rPr>
          <w:sz w:val="28"/>
        </w:rPr>
      </w:pPr>
      <w:r>
        <w:rPr>
          <w:sz w:val="28"/>
        </w:rPr>
        <w:t>CONISBROUGH IVANHOE PRIMARY ACADEMY</w:t>
      </w:r>
    </w:p>
    <w:p w14:paraId="4FBF97F0" w14:textId="68C65B73" w:rsidR="003969EF" w:rsidRPr="003969EF" w:rsidRDefault="003969EF" w:rsidP="003969EF">
      <w:pPr>
        <w:spacing w:after="162" w:line="259" w:lineRule="auto"/>
        <w:ind w:left="62" w:right="102" w:firstLine="0"/>
        <w:jc w:val="center"/>
        <w:rPr>
          <w:sz w:val="48"/>
          <w:szCs w:val="48"/>
        </w:rPr>
      </w:pPr>
      <w:r w:rsidRPr="003969EF">
        <w:rPr>
          <w:sz w:val="48"/>
          <w:szCs w:val="48"/>
        </w:rPr>
        <w:t>2024</w:t>
      </w:r>
    </w:p>
    <w:p w14:paraId="65AA475B" w14:textId="77777777" w:rsidR="00E81487" w:rsidRDefault="00CB3497">
      <w:pPr>
        <w:spacing w:after="103" w:line="259" w:lineRule="auto"/>
        <w:ind w:left="0" w:firstLine="0"/>
      </w:pPr>
      <w:r>
        <w:t xml:space="preserve"> </w:t>
      </w:r>
    </w:p>
    <w:p w14:paraId="508051A3" w14:textId="77777777" w:rsidR="00E81487" w:rsidRDefault="00CB3497">
      <w:pPr>
        <w:spacing w:after="103" w:line="259" w:lineRule="auto"/>
        <w:ind w:left="61" w:firstLine="0"/>
        <w:jc w:val="center"/>
      </w:pPr>
      <w:r>
        <w:t xml:space="preserve"> </w:t>
      </w:r>
    </w:p>
    <w:p w14:paraId="65C8C36A" w14:textId="77777777" w:rsidR="00E81487" w:rsidRDefault="00CB3497">
      <w:pPr>
        <w:spacing w:after="95" w:line="259" w:lineRule="auto"/>
        <w:ind w:left="0" w:firstLine="0"/>
      </w:pPr>
      <w:r>
        <w:t xml:space="preserve"> </w:t>
      </w:r>
    </w:p>
    <w:p w14:paraId="61FD943F" w14:textId="77777777" w:rsidR="00E81487" w:rsidRDefault="00CB3497">
      <w:pPr>
        <w:spacing w:after="60" w:line="259" w:lineRule="auto"/>
        <w:ind w:left="62" w:firstLine="0"/>
        <w:jc w:val="center"/>
      </w:pPr>
      <w:r>
        <w:rPr>
          <w:noProof/>
        </w:rPr>
        <w:drawing>
          <wp:inline distT="0" distB="0" distL="0" distR="0" wp14:anchorId="16396E21" wp14:editId="2D540001">
            <wp:extent cx="2762250" cy="2733675"/>
            <wp:effectExtent l="0" t="0" r="0" b="9525"/>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7"/>
                    <a:stretch>
                      <a:fillRect/>
                    </a:stretch>
                  </pic:blipFill>
                  <pic:spPr>
                    <a:xfrm>
                      <a:off x="0" y="0"/>
                      <a:ext cx="2762250" cy="2733675"/>
                    </a:xfrm>
                    <a:prstGeom prst="rect">
                      <a:avLst/>
                    </a:prstGeom>
                  </pic:spPr>
                </pic:pic>
              </a:graphicData>
            </a:graphic>
          </wp:inline>
        </w:drawing>
      </w:r>
      <w:r>
        <w:t xml:space="preserve"> </w:t>
      </w:r>
    </w:p>
    <w:p w14:paraId="582D0D73" w14:textId="77777777" w:rsidR="00E81487" w:rsidRDefault="00CB3497">
      <w:pPr>
        <w:spacing w:after="103" w:line="259" w:lineRule="auto"/>
        <w:ind w:left="0" w:firstLine="0"/>
      </w:pPr>
      <w:r>
        <w:t xml:space="preserve"> </w:t>
      </w:r>
    </w:p>
    <w:p w14:paraId="5369E971" w14:textId="77777777" w:rsidR="00E81487" w:rsidRDefault="00CB3497">
      <w:pPr>
        <w:spacing w:after="103" w:line="259" w:lineRule="auto"/>
        <w:ind w:left="0" w:firstLine="0"/>
      </w:pPr>
      <w:r>
        <w:t xml:space="preserve"> </w:t>
      </w:r>
    </w:p>
    <w:p w14:paraId="212D66C6" w14:textId="77777777" w:rsidR="00E81487" w:rsidRDefault="00CB3497">
      <w:pPr>
        <w:spacing w:after="103" w:line="259" w:lineRule="auto"/>
        <w:ind w:left="0" w:firstLine="0"/>
      </w:pPr>
      <w:r>
        <w:t xml:space="preserve"> </w:t>
      </w:r>
    </w:p>
    <w:p w14:paraId="65CC81C9" w14:textId="77777777" w:rsidR="00E81487" w:rsidRDefault="00CB3497">
      <w:pPr>
        <w:spacing w:after="103" w:line="259" w:lineRule="auto"/>
        <w:ind w:left="0" w:firstLine="0"/>
      </w:pPr>
      <w:r>
        <w:t xml:space="preserve"> </w:t>
      </w:r>
    </w:p>
    <w:p w14:paraId="719BDD46" w14:textId="77777777" w:rsidR="00E81487" w:rsidRDefault="00CB3497">
      <w:pPr>
        <w:spacing w:after="101" w:line="259" w:lineRule="auto"/>
        <w:ind w:left="0" w:firstLine="0"/>
      </w:pPr>
      <w:r>
        <w:t xml:space="preserve"> </w:t>
      </w:r>
    </w:p>
    <w:p w14:paraId="0384BDCB" w14:textId="77777777" w:rsidR="00E81487" w:rsidRDefault="00CB3497">
      <w:pPr>
        <w:spacing w:after="137" w:line="259" w:lineRule="auto"/>
        <w:ind w:left="0" w:firstLine="0"/>
      </w:pPr>
      <w:r>
        <w:t xml:space="preserve"> </w:t>
      </w:r>
    </w:p>
    <w:p w14:paraId="3C2DBEBF" w14:textId="7DACEC31" w:rsidR="00E81487" w:rsidRDefault="00E81487" w:rsidP="003969EF">
      <w:pPr>
        <w:spacing w:after="64" w:line="259" w:lineRule="auto"/>
        <w:ind w:left="65" w:firstLine="0"/>
        <w:jc w:val="center"/>
      </w:pPr>
    </w:p>
    <w:p w14:paraId="321A3298" w14:textId="77777777" w:rsidR="003969EF" w:rsidRDefault="00CB3497" w:rsidP="003969EF">
      <w:pPr>
        <w:spacing w:after="103" w:line="259" w:lineRule="auto"/>
        <w:ind w:left="0" w:firstLine="0"/>
      </w:pPr>
      <w:r>
        <w:t xml:space="preserve"> </w:t>
      </w: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969EF" w:rsidRPr="00A514DB" w14:paraId="31C89908" w14:textId="77777777" w:rsidTr="00A9075C">
        <w:tc>
          <w:tcPr>
            <w:tcW w:w="2586" w:type="dxa"/>
            <w:tcBorders>
              <w:top w:val="nil"/>
              <w:bottom w:val="single" w:sz="18" w:space="0" w:color="FFFFFF"/>
            </w:tcBorders>
            <w:shd w:val="clear" w:color="auto" w:fill="D8DFDE"/>
          </w:tcPr>
          <w:p w14:paraId="3213BE8C" w14:textId="77777777" w:rsidR="003969EF" w:rsidRPr="00A514DB" w:rsidRDefault="003969EF" w:rsidP="00A9075C">
            <w:pPr>
              <w:pStyle w:val="1bodycopy10pt"/>
              <w:rPr>
                <w:b/>
                <w:lang w:val="en-GB"/>
              </w:rPr>
            </w:pPr>
            <w:r w:rsidRPr="00A514DB">
              <w:rPr>
                <w:b/>
                <w:lang w:val="en-GB"/>
              </w:rPr>
              <w:t>Approved by:</w:t>
            </w:r>
          </w:p>
        </w:tc>
        <w:tc>
          <w:tcPr>
            <w:tcW w:w="3268" w:type="dxa"/>
            <w:tcBorders>
              <w:top w:val="nil"/>
              <w:bottom w:val="single" w:sz="18" w:space="0" w:color="FFFFFF"/>
            </w:tcBorders>
            <w:shd w:val="clear" w:color="auto" w:fill="D8DFDE"/>
          </w:tcPr>
          <w:p w14:paraId="3A81C5B8" w14:textId="77777777" w:rsidR="003969EF" w:rsidRPr="00A514DB" w:rsidRDefault="003969EF" w:rsidP="00A9075C">
            <w:pPr>
              <w:pStyle w:val="1bodycopy11pt"/>
              <w:rPr>
                <w:highlight w:val="yellow"/>
                <w:lang w:val="en-GB"/>
              </w:rPr>
            </w:pPr>
            <w:r w:rsidRPr="00B20A93">
              <w:rPr>
                <w:lang w:val="en-GB"/>
              </w:rPr>
              <w:t>Governors</w:t>
            </w:r>
          </w:p>
        </w:tc>
        <w:tc>
          <w:tcPr>
            <w:tcW w:w="3866" w:type="dxa"/>
            <w:tcBorders>
              <w:top w:val="nil"/>
              <w:bottom w:val="single" w:sz="18" w:space="0" w:color="FFFFFF"/>
            </w:tcBorders>
            <w:shd w:val="clear" w:color="auto" w:fill="D8DFDE"/>
          </w:tcPr>
          <w:p w14:paraId="1F8AFAEA" w14:textId="48949B27" w:rsidR="003969EF" w:rsidRPr="00A514DB" w:rsidRDefault="003969EF" w:rsidP="00A9075C">
            <w:pPr>
              <w:pStyle w:val="1bodycopy11pt"/>
              <w:rPr>
                <w:lang w:val="en-GB"/>
              </w:rPr>
            </w:pPr>
            <w:r w:rsidRPr="00A514DB">
              <w:rPr>
                <w:b/>
                <w:lang w:val="en-GB"/>
              </w:rPr>
              <w:t>Date:</w:t>
            </w:r>
            <w:r w:rsidRPr="00A514DB">
              <w:rPr>
                <w:lang w:val="en-GB"/>
              </w:rPr>
              <w:t xml:space="preserve">  </w:t>
            </w:r>
            <w:r>
              <w:rPr>
                <w:lang w:val="en-GB"/>
              </w:rPr>
              <w:t>J</w:t>
            </w:r>
            <w:r>
              <w:rPr>
                <w:lang w:val="en-GB"/>
              </w:rPr>
              <w:t>uly</w:t>
            </w:r>
            <w:r>
              <w:rPr>
                <w:lang w:val="en-GB"/>
              </w:rPr>
              <w:t xml:space="preserve"> 2024</w:t>
            </w:r>
          </w:p>
        </w:tc>
      </w:tr>
      <w:tr w:rsidR="003969EF" w:rsidRPr="00A514DB" w14:paraId="4CFFB2FE" w14:textId="77777777" w:rsidTr="00A9075C">
        <w:tc>
          <w:tcPr>
            <w:tcW w:w="2586" w:type="dxa"/>
            <w:tcBorders>
              <w:top w:val="single" w:sz="18" w:space="0" w:color="FFFFFF"/>
              <w:bottom w:val="single" w:sz="18" w:space="0" w:color="FFFFFF"/>
            </w:tcBorders>
            <w:shd w:val="clear" w:color="auto" w:fill="D8DFDE"/>
          </w:tcPr>
          <w:p w14:paraId="77A3A052" w14:textId="77777777" w:rsidR="003969EF" w:rsidRPr="00A514DB" w:rsidRDefault="003969EF" w:rsidP="00A9075C">
            <w:pPr>
              <w:pStyle w:val="1bodycopy10pt"/>
              <w:rPr>
                <w:b/>
                <w:lang w:val="en-GB"/>
              </w:rPr>
            </w:pPr>
            <w:r>
              <w:rPr>
                <w:b/>
                <w:lang w:val="en-GB"/>
              </w:rPr>
              <w:t>Review date:</w:t>
            </w:r>
          </w:p>
        </w:tc>
        <w:tc>
          <w:tcPr>
            <w:tcW w:w="7134" w:type="dxa"/>
            <w:gridSpan w:val="2"/>
            <w:tcBorders>
              <w:top w:val="single" w:sz="18" w:space="0" w:color="FFFFFF"/>
              <w:bottom w:val="single" w:sz="18" w:space="0" w:color="FFFFFF"/>
            </w:tcBorders>
            <w:shd w:val="clear" w:color="auto" w:fill="D8DFDE"/>
          </w:tcPr>
          <w:p w14:paraId="5B4A5084" w14:textId="2E78DC35" w:rsidR="003969EF" w:rsidRPr="00A514DB" w:rsidRDefault="003969EF" w:rsidP="00A9075C">
            <w:pPr>
              <w:pStyle w:val="1bodycopy11pt"/>
              <w:rPr>
                <w:highlight w:val="yellow"/>
                <w:lang w:val="en-GB"/>
              </w:rPr>
            </w:pPr>
            <w:r>
              <w:rPr>
                <w:lang w:val="en-GB"/>
              </w:rPr>
              <w:t>J</w:t>
            </w:r>
            <w:r w:rsidRPr="00B20A93">
              <w:rPr>
                <w:lang w:val="en-GB"/>
              </w:rPr>
              <w:t>u</w:t>
            </w:r>
            <w:r>
              <w:rPr>
                <w:lang w:val="en-GB"/>
              </w:rPr>
              <w:t>ly</w:t>
            </w:r>
            <w:r w:rsidRPr="00B20A93">
              <w:rPr>
                <w:lang w:val="en-GB"/>
              </w:rPr>
              <w:t xml:space="preserve"> 202</w:t>
            </w:r>
            <w:r>
              <w:rPr>
                <w:lang w:val="en-GB"/>
              </w:rPr>
              <w:t>7</w:t>
            </w:r>
          </w:p>
        </w:tc>
      </w:tr>
    </w:tbl>
    <w:p w14:paraId="2A370BD9" w14:textId="3284F791" w:rsidR="00E81487" w:rsidRDefault="00CB3497" w:rsidP="003969EF">
      <w:pPr>
        <w:spacing w:after="103" w:line="259" w:lineRule="auto"/>
        <w:ind w:left="0" w:firstLine="0"/>
      </w:pPr>
      <w:r>
        <w:t xml:space="preserve"> </w:t>
      </w:r>
    </w:p>
    <w:p w14:paraId="1CCE5428" w14:textId="77777777" w:rsidR="00E81487" w:rsidRDefault="00CB3497">
      <w:pPr>
        <w:spacing w:after="175" w:line="259" w:lineRule="auto"/>
        <w:ind w:left="0" w:firstLine="0"/>
      </w:pPr>
      <w:r>
        <w:t xml:space="preserve"> </w:t>
      </w:r>
    </w:p>
    <w:p w14:paraId="327F5195" w14:textId="6DA4B897" w:rsidR="00CB3497" w:rsidRDefault="00CB3497">
      <w:pPr>
        <w:spacing w:after="45" w:line="259" w:lineRule="auto"/>
        <w:ind w:left="0" w:firstLine="0"/>
        <w:rPr>
          <w:b/>
          <w:color w:val="0D1C2F"/>
          <w:sz w:val="28"/>
        </w:rPr>
      </w:pPr>
    </w:p>
    <w:p w14:paraId="634A62CD" w14:textId="37BD4CAE" w:rsidR="003969EF" w:rsidRDefault="003969EF">
      <w:pPr>
        <w:spacing w:after="45" w:line="259" w:lineRule="auto"/>
        <w:ind w:left="0" w:firstLine="0"/>
        <w:rPr>
          <w:b/>
          <w:color w:val="0D1C2F"/>
          <w:sz w:val="28"/>
        </w:rPr>
      </w:pPr>
    </w:p>
    <w:p w14:paraId="743392DD" w14:textId="79961873" w:rsidR="003969EF" w:rsidRDefault="003969EF">
      <w:pPr>
        <w:spacing w:after="45" w:line="259" w:lineRule="auto"/>
        <w:ind w:left="0" w:firstLine="0"/>
        <w:rPr>
          <w:b/>
          <w:color w:val="0D1C2F"/>
          <w:sz w:val="28"/>
        </w:rPr>
      </w:pPr>
    </w:p>
    <w:p w14:paraId="0E34F0D6" w14:textId="77777777" w:rsidR="003969EF" w:rsidRDefault="003969EF">
      <w:pPr>
        <w:spacing w:after="45" w:line="259" w:lineRule="auto"/>
        <w:ind w:left="0" w:firstLine="0"/>
        <w:rPr>
          <w:b/>
          <w:color w:val="0D1C2F"/>
          <w:sz w:val="28"/>
        </w:rPr>
      </w:pPr>
    </w:p>
    <w:p w14:paraId="59698CCE" w14:textId="77777777" w:rsidR="00E81487" w:rsidRDefault="00CB3497">
      <w:pPr>
        <w:spacing w:after="45" w:line="259" w:lineRule="auto"/>
        <w:ind w:left="0" w:firstLine="0"/>
      </w:pPr>
      <w:r>
        <w:rPr>
          <w:b/>
          <w:color w:val="0D1C2F"/>
          <w:sz w:val="28"/>
        </w:rPr>
        <w:t xml:space="preserve">Contents </w:t>
      </w:r>
    </w:p>
    <w:p w14:paraId="414BA635" w14:textId="49B362F7" w:rsidR="00E81487" w:rsidRDefault="00CB3497">
      <w:pPr>
        <w:numPr>
          <w:ilvl w:val="0"/>
          <w:numId w:val="1"/>
        </w:numPr>
        <w:spacing w:after="64"/>
        <w:ind w:hanging="221"/>
      </w:pPr>
      <w:r>
        <w:t>Aims ............................................................................................................................................................. 2</w:t>
      </w:r>
      <w:r>
        <w:rPr>
          <w:rFonts w:ascii="Calibri" w:eastAsia="Calibri" w:hAnsi="Calibri" w:cs="Calibri"/>
          <w:sz w:val="22"/>
        </w:rPr>
        <w:t xml:space="preserve"> </w:t>
      </w:r>
    </w:p>
    <w:p w14:paraId="0E342443" w14:textId="0F6F0427" w:rsidR="00E81487" w:rsidRDefault="00CB3497">
      <w:pPr>
        <w:numPr>
          <w:ilvl w:val="0"/>
          <w:numId w:val="1"/>
        </w:numPr>
        <w:spacing w:after="61"/>
        <w:ind w:hanging="221"/>
      </w:pPr>
      <w:r>
        <w:t>Legislation ..................................................................................................................................................... 2</w:t>
      </w:r>
      <w:r>
        <w:rPr>
          <w:rFonts w:ascii="Calibri" w:eastAsia="Calibri" w:hAnsi="Calibri" w:cs="Calibri"/>
          <w:sz w:val="22"/>
        </w:rPr>
        <w:t xml:space="preserve"> </w:t>
      </w:r>
    </w:p>
    <w:p w14:paraId="015FCC20" w14:textId="3110F002" w:rsidR="00E81487" w:rsidRDefault="00CB3497">
      <w:pPr>
        <w:numPr>
          <w:ilvl w:val="0"/>
          <w:numId w:val="1"/>
        </w:numPr>
        <w:spacing w:after="64"/>
        <w:ind w:hanging="221"/>
      </w:pPr>
      <w:r>
        <w:t>Definition of whistle-blowing ......................................................................................................................... 2</w:t>
      </w:r>
      <w:r>
        <w:rPr>
          <w:rFonts w:ascii="Calibri" w:eastAsia="Calibri" w:hAnsi="Calibri" w:cs="Calibri"/>
          <w:sz w:val="22"/>
        </w:rPr>
        <w:t xml:space="preserve"> </w:t>
      </w:r>
    </w:p>
    <w:p w14:paraId="53269A6D" w14:textId="6B13EC8D" w:rsidR="00E81487" w:rsidRDefault="00CB3497">
      <w:pPr>
        <w:numPr>
          <w:ilvl w:val="0"/>
          <w:numId w:val="1"/>
        </w:numPr>
        <w:spacing w:after="61"/>
        <w:ind w:hanging="221"/>
      </w:pPr>
      <w:r>
        <w:t>Procedure for staff to raise a whistle-blowing concern ................................................................................. 3</w:t>
      </w:r>
      <w:r>
        <w:rPr>
          <w:rFonts w:ascii="Calibri" w:eastAsia="Calibri" w:hAnsi="Calibri" w:cs="Calibri"/>
          <w:sz w:val="22"/>
        </w:rPr>
        <w:t xml:space="preserve"> </w:t>
      </w:r>
    </w:p>
    <w:p w14:paraId="0AFF2749" w14:textId="03B42B78" w:rsidR="00E81487" w:rsidRDefault="00CB3497">
      <w:pPr>
        <w:numPr>
          <w:ilvl w:val="0"/>
          <w:numId w:val="1"/>
        </w:numPr>
        <w:spacing w:after="64"/>
        <w:ind w:hanging="221"/>
      </w:pPr>
      <w:r>
        <w:t>Trust procedure for responding to a whistle-blowing concern ...................................................................... 3</w:t>
      </w:r>
      <w:r>
        <w:rPr>
          <w:rFonts w:ascii="Calibri" w:eastAsia="Calibri" w:hAnsi="Calibri" w:cs="Calibri"/>
          <w:sz w:val="22"/>
        </w:rPr>
        <w:t xml:space="preserve"> </w:t>
      </w:r>
    </w:p>
    <w:p w14:paraId="7992D8BC" w14:textId="01811B74" w:rsidR="00E81487" w:rsidRDefault="00CB3497">
      <w:pPr>
        <w:numPr>
          <w:ilvl w:val="0"/>
          <w:numId w:val="1"/>
        </w:numPr>
        <w:spacing w:after="61"/>
        <w:ind w:hanging="221"/>
      </w:pPr>
      <w:r>
        <w:t>Malicious or vexatious allegations ................................................................................................................. 4</w:t>
      </w:r>
      <w:r>
        <w:rPr>
          <w:rFonts w:ascii="Calibri" w:eastAsia="Calibri" w:hAnsi="Calibri" w:cs="Calibri"/>
          <w:sz w:val="22"/>
        </w:rPr>
        <w:t xml:space="preserve"> </w:t>
      </w:r>
    </w:p>
    <w:p w14:paraId="11918D80" w14:textId="6E5A9B95" w:rsidR="00E81487" w:rsidRDefault="00CB3497">
      <w:pPr>
        <w:numPr>
          <w:ilvl w:val="0"/>
          <w:numId w:val="1"/>
        </w:numPr>
        <w:spacing w:after="64"/>
        <w:ind w:hanging="221"/>
      </w:pPr>
      <w:r>
        <w:t>Escalating concerns beyond the trust ............................................................................................................ 4</w:t>
      </w:r>
      <w:r>
        <w:rPr>
          <w:rFonts w:ascii="Calibri" w:eastAsia="Calibri" w:hAnsi="Calibri" w:cs="Calibri"/>
          <w:sz w:val="22"/>
        </w:rPr>
        <w:t xml:space="preserve"> </w:t>
      </w:r>
    </w:p>
    <w:p w14:paraId="17EE1BE1" w14:textId="64897F28" w:rsidR="00E81487" w:rsidRDefault="00CB3497">
      <w:pPr>
        <w:numPr>
          <w:ilvl w:val="0"/>
          <w:numId w:val="1"/>
        </w:numPr>
        <w:spacing w:after="61"/>
        <w:ind w:hanging="221"/>
      </w:pPr>
      <w:r>
        <w:t>Approval ......................................................................................................................................................... 4</w:t>
      </w:r>
      <w:r>
        <w:rPr>
          <w:rFonts w:ascii="Calibri" w:eastAsia="Calibri" w:hAnsi="Calibri" w:cs="Calibri"/>
          <w:sz w:val="22"/>
        </w:rPr>
        <w:t xml:space="preserve"> </w:t>
      </w:r>
    </w:p>
    <w:p w14:paraId="24B038F1" w14:textId="7552E849" w:rsidR="00E81487" w:rsidRDefault="00CB3497">
      <w:pPr>
        <w:numPr>
          <w:ilvl w:val="0"/>
          <w:numId w:val="1"/>
        </w:numPr>
        <w:spacing w:after="63"/>
        <w:ind w:hanging="221"/>
      </w:pPr>
      <w:r>
        <w:t>Links with other policies ................................................................................................................................. 4</w:t>
      </w:r>
      <w:r>
        <w:rPr>
          <w:rFonts w:ascii="Calibri" w:eastAsia="Calibri" w:hAnsi="Calibri" w:cs="Calibri"/>
          <w:sz w:val="22"/>
        </w:rPr>
        <w:t xml:space="preserve"> </w:t>
      </w:r>
    </w:p>
    <w:p w14:paraId="178543DB" w14:textId="77777777" w:rsidR="00E81487" w:rsidRDefault="00CB3497">
      <w:pPr>
        <w:spacing w:after="0" w:line="259" w:lineRule="auto"/>
        <w:ind w:left="0" w:firstLine="0"/>
      </w:pPr>
      <w:r>
        <w:t xml:space="preserve"> </w:t>
      </w:r>
    </w:p>
    <w:p w14:paraId="6E88D4EA" w14:textId="77777777" w:rsidR="00E81487" w:rsidRDefault="00CB3497">
      <w:pPr>
        <w:spacing w:after="121" w:line="259" w:lineRule="auto"/>
        <w:ind w:left="-1" w:firstLine="0"/>
      </w:pPr>
      <w:r>
        <w:rPr>
          <w:rFonts w:ascii="Calibri" w:eastAsia="Calibri" w:hAnsi="Calibri" w:cs="Calibri"/>
          <w:noProof/>
          <w:sz w:val="22"/>
        </w:rPr>
        <mc:AlternateContent>
          <mc:Choice Requires="wpg">
            <w:drawing>
              <wp:inline distT="0" distB="0" distL="0" distR="0" wp14:anchorId="7D91B086" wp14:editId="592E02B5">
                <wp:extent cx="6158865" cy="12700"/>
                <wp:effectExtent l="0" t="0" r="0" b="0"/>
                <wp:docPr id="4824" name="Group 4824"/>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328" name="Shape 328"/>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824" style="width:484.95pt;height:1pt;mso-position-horizontal-relative:char;mso-position-vertical-relative:line" coordsize="61588,127">
                <v:shape id="Shape 328" style="position:absolute;width:61588;height:0;left:0;top:0;" coordsize="6158865,0" path="m0,0l6158865,0">
                  <v:stroke weight="1pt" endcap="flat" joinstyle="miter" miterlimit="10" on="true" color="#12263f"/>
                  <v:fill on="false" color="#000000" opacity="0"/>
                </v:shape>
              </v:group>
            </w:pict>
          </mc:Fallback>
        </mc:AlternateContent>
      </w:r>
    </w:p>
    <w:p w14:paraId="125D033B" w14:textId="77777777" w:rsidR="00E81487" w:rsidRPr="00AB6B93" w:rsidRDefault="00CB3497">
      <w:pPr>
        <w:spacing w:after="177" w:line="259" w:lineRule="auto"/>
        <w:ind w:left="0" w:firstLine="0"/>
        <w:rPr>
          <w:color w:val="auto"/>
        </w:rPr>
      </w:pPr>
      <w:r w:rsidRPr="00AB6B93">
        <w:rPr>
          <w:color w:val="auto"/>
        </w:rPr>
        <w:t xml:space="preserve"> </w:t>
      </w:r>
    </w:p>
    <w:p w14:paraId="1551A968" w14:textId="4419E178" w:rsidR="00E81487" w:rsidRPr="00AB6B93" w:rsidRDefault="00CB3497" w:rsidP="00AB6B93">
      <w:pPr>
        <w:pStyle w:val="Heading1"/>
        <w:numPr>
          <w:ilvl w:val="0"/>
          <w:numId w:val="4"/>
        </w:numPr>
        <w:rPr>
          <w:color w:val="auto"/>
        </w:rPr>
      </w:pPr>
      <w:r w:rsidRPr="00AB6B93">
        <w:rPr>
          <w:color w:val="auto"/>
        </w:rPr>
        <w:t xml:space="preserve">Aims </w:t>
      </w:r>
    </w:p>
    <w:p w14:paraId="68B195EA" w14:textId="77777777" w:rsidR="00AB6B93" w:rsidRDefault="00CB3497">
      <w:pPr>
        <w:spacing w:after="113" w:line="288" w:lineRule="auto"/>
        <w:ind w:left="79" w:right="73" w:hanging="79"/>
        <w:jc w:val="both"/>
      </w:pPr>
      <w:r>
        <w:t>This policy aims to:</w:t>
      </w:r>
    </w:p>
    <w:p w14:paraId="78DCAC61" w14:textId="6C287F89" w:rsidR="00E81487" w:rsidRDefault="00CB3497" w:rsidP="00AB6B93">
      <w:pPr>
        <w:spacing w:after="113" w:line="288" w:lineRule="auto"/>
        <w:ind w:left="360" w:right="73" w:firstLine="0"/>
        <w:jc w:val="both"/>
      </w:pPr>
      <w:r>
        <w:rPr>
          <w:noProof/>
        </w:rPr>
        <w:drawing>
          <wp:inline distT="0" distB="0" distL="0" distR="0" wp14:anchorId="552AC7AC" wp14:editId="653AFD3B">
            <wp:extent cx="85090" cy="133985"/>
            <wp:effectExtent l="0" t="0" r="0" b="0"/>
            <wp:docPr id="217" name="Picture 217"/>
            <wp:cNvGraphicFramePr/>
            <a:graphic xmlns:a="http://schemas.openxmlformats.org/drawingml/2006/main">
              <a:graphicData uri="http://schemas.openxmlformats.org/drawingml/2006/picture">
                <pic:pic xmlns:pic="http://schemas.openxmlformats.org/drawingml/2006/picture">
                  <pic:nvPicPr>
                    <pic:cNvPr id="217" name="Picture 217"/>
                    <pic:cNvPicPr/>
                  </pic:nvPicPr>
                  <pic:blipFill>
                    <a:blip r:embed="rId8"/>
                    <a:stretch>
                      <a:fillRect/>
                    </a:stretch>
                  </pic:blipFill>
                  <pic:spPr>
                    <a:xfrm>
                      <a:off x="0" y="0"/>
                      <a:ext cx="85090" cy="133985"/>
                    </a:xfrm>
                    <a:prstGeom prst="rect">
                      <a:avLst/>
                    </a:prstGeom>
                  </pic:spPr>
                </pic:pic>
              </a:graphicData>
            </a:graphic>
          </wp:inline>
        </w:drawing>
      </w:r>
      <w:r w:rsidRPr="00AB6B93">
        <w:rPr>
          <w:sz w:val="25"/>
        </w:rPr>
        <w:t xml:space="preserve"> </w:t>
      </w:r>
      <w:r>
        <w:t xml:space="preserve">Encourage individuals affected to report suspected wrongdoing as soon as possible in the knowledge that their concerns will be taken seriously and investigated and that their confidentiality will be respected </w:t>
      </w:r>
    </w:p>
    <w:p w14:paraId="44CE0EE2" w14:textId="0922C8BC" w:rsidR="00E81487" w:rsidRDefault="00CB3497" w:rsidP="00AB6B93">
      <w:pPr>
        <w:ind w:left="360" w:firstLine="0"/>
      </w:pPr>
      <w:r>
        <w:rPr>
          <w:noProof/>
        </w:rPr>
        <w:drawing>
          <wp:inline distT="0" distB="0" distL="0" distR="0" wp14:anchorId="2311A1EB" wp14:editId="767D73E8">
            <wp:extent cx="85090" cy="133985"/>
            <wp:effectExtent l="0" t="0" r="0" b="0"/>
            <wp:docPr id="224" name="Picture 224"/>
            <wp:cNvGraphicFramePr/>
            <a:graphic xmlns:a="http://schemas.openxmlformats.org/drawingml/2006/main">
              <a:graphicData uri="http://schemas.openxmlformats.org/drawingml/2006/picture">
                <pic:pic xmlns:pic="http://schemas.openxmlformats.org/drawingml/2006/picture">
                  <pic:nvPicPr>
                    <pic:cNvPr id="224" name="Picture 224"/>
                    <pic:cNvPicPr/>
                  </pic:nvPicPr>
                  <pic:blipFill>
                    <a:blip r:embed="rId8"/>
                    <a:stretch>
                      <a:fillRect/>
                    </a:stretch>
                  </pic:blipFill>
                  <pic:spPr>
                    <a:xfrm>
                      <a:off x="0" y="0"/>
                      <a:ext cx="85090" cy="133985"/>
                    </a:xfrm>
                    <a:prstGeom prst="rect">
                      <a:avLst/>
                    </a:prstGeom>
                  </pic:spPr>
                </pic:pic>
              </a:graphicData>
            </a:graphic>
          </wp:inline>
        </w:drawing>
      </w:r>
      <w:r w:rsidRPr="00AB6B93">
        <w:rPr>
          <w:sz w:val="25"/>
        </w:rPr>
        <w:t xml:space="preserve"> </w:t>
      </w:r>
      <w:r>
        <w:t xml:space="preserve">Let all staff in </w:t>
      </w:r>
      <w:proofErr w:type="spellStart"/>
      <w:r w:rsidR="00AB6B93">
        <w:t>Conisbrough</w:t>
      </w:r>
      <w:proofErr w:type="spellEnd"/>
      <w:r w:rsidR="00AB6B93">
        <w:t xml:space="preserve"> Ivanhoe Primary Academy</w:t>
      </w:r>
      <w:r>
        <w:t xml:space="preserve"> know how to raise concerns about potential wrongdoing in or by the trust </w:t>
      </w:r>
    </w:p>
    <w:p w14:paraId="301DC181" w14:textId="269DA0A7" w:rsidR="00E81487" w:rsidRDefault="00CB3497" w:rsidP="00AB6B93">
      <w:pPr>
        <w:ind w:left="360" w:firstLine="0"/>
      </w:pPr>
      <w:r>
        <w:rPr>
          <w:noProof/>
        </w:rPr>
        <w:drawing>
          <wp:inline distT="0" distB="0" distL="0" distR="0" wp14:anchorId="45D48CAF" wp14:editId="0625E3BA">
            <wp:extent cx="85090" cy="133985"/>
            <wp:effectExtent l="0" t="0" r="0" b="0"/>
            <wp:docPr id="236" name="Picture 236"/>
            <wp:cNvGraphicFramePr/>
            <a:graphic xmlns:a="http://schemas.openxmlformats.org/drawingml/2006/main">
              <a:graphicData uri="http://schemas.openxmlformats.org/drawingml/2006/picture">
                <pic:pic xmlns:pic="http://schemas.openxmlformats.org/drawingml/2006/picture">
                  <pic:nvPicPr>
                    <pic:cNvPr id="236" name="Picture 236"/>
                    <pic:cNvPicPr/>
                  </pic:nvPicPr>
                  <pic:blipFill>
                    <a:blip r:embed="rId8"/>
                    <a:stretch>
                      <a:fillRect/>
                    </a:stretch>
                  </pic:blipFill>
                  <pic:spPr>
                    <a:xfrm>
                      <a:off x="0" y="0"/>
                      <a:ext cx="85090" cy="133985"/>
                    </a:xfrm>
                    <a:prstGeom prst="rect">
                      <a:avLst/>
                    </a:prstGeom>
                  </pic:spPr>
                </pic:pic>
              </a:graphicData>
            </a:graphic>
          </wp:inline>
        </w:drawing>
      </w:r>
      <w:r w:rsidRPr="00AB6B93">
        <w:rPr>
          <w:sz w:val="25"/>
        </w:rPr>
        <w:t xml:space="preserve"> </w:t>
      </w:r>
      <w:r>
        <w:t xml:space="preserve">Set clear procedures for how </w:t>
      </w:r>
      <w:proofErr w:type="spellStart"/>
      <w:r w:rsidR="00AB6B93">
        <w:t>Conisbrough</w:t>
      </w:r>
      <w:proofErr w:type="spellEnd"/>
      <w:r w:rsidR="00AB6B93">
        <w:t xml:space="preserve"> Ivanhoe Primary Academy</w:t>
      </w:r>
      <w:r>
        <w:t xml:space="preserve"> will respond to such concerns </w:t>
      </w:r>
    </w:p>
    <w:p w14:paraId="00953DB2" w14:textId="77777777" w:rsidR="00E81487" w:rsidRDefault="00CB3497" w:rsidP="00AB6B93">
      <w:pPr>
        <w:ind w:left="360" w:firstLine="0"/>
      </w:pPr>
      <w:r>
        <w:rPr>
          <w:noProof/>
        </w:rPr>
        <w:drawing>
          <wp:inline distT="0" distB="0" distL="0" distR="0" wp14:anchorId="769E1B5A" wp14:editId="2A8C4229">
            <wp:extent cx="85090" cy="134620"/>
            <wp:effectExtent l="0" t="0" r="0" b="0"/>
            <wp:docPr id="241" name="Picture 241"/>
            <wp:cNvGraphicFramePr/>
            <a:graphic xmlns:a="http://schemas.openxmlformats.org/drawingml/2006/main">
              <a:graphicData uri="http://schemas.openxmlformats.org/drawingml/2006/picture">
                <pic:pic xmlns:pic="http://schemas.openxmlformats.org/drawingml/2006/picture">
                  <pic:nvPicPr>
                    <pic:cNvPr id="241" name="Picture 241"/>
                    <pic:cNvPicPr/>
                  </pic:nvPicPr>
                  <pic:blipFill>
                    <a:blip r:embed="rId8"/>
                    <a:stretch>
                      <a:fillRect/>
                    </a:stretch>
                  </pic:blipFill>
                  <pic:spPr>
                    <a:xfrm>
                      <a:off x="0" y="0"/>
                      <a:ext cx="85090" cy="134620"/>
                    </a:xfrm>
                    <a:prstGeom prst="rect">
                      <a:avLst/>
                    </a:prstGeom>
                  </pic:spPr>
                </pic:pic>
              </a:graphicData>
            </a:graphic>
          </wp:inline>
        </w:drawing>
      </w:r>
      <w:r w:rsidRPr="00AB6B93">
        <w:rPr>
          <w:sz w:val="25"/>
        </w:rPr>
        <w:t xml:space="preserve"> </w:t>
      </w:r>
      <w:r>
        <w:t xml:space="preserve">Let all staff know the protection available to them if they raise a whistle-blowing concern </w:t>
      </w:r>
    </w:p>
    <w:p w14:paraId="786C823E" w14:textId="27F12DCE" w:rsidR="00E81487" w:rsidRDefault="00CB3497" w:rsidP="00AB6B93">
      <w:pPr>
        <w:ind w:left="360" w:firstLine="0"/>
      </w:pPr>
      <w:r>
        <w:rPr>
          <w:noProof/>
        </w:rPr>
        <w:drawing>
          <wp:inline distT="0" distB="0" distL="0" distR="0" wp14:anchorId="61D2D91D" wp14:editId="70E00C8B">
            <wp:extent cx="85090" cy="133985"/>
            <wp:effectExtent l="0" t="0" r="0" b="0"/>
            <wp:docPr id="249" name="Picture 249"/>
            <wp:cNvGraphicFramePr/>
            <a:graphic xmlns:a="http://schemas.openxmlformats.org/drawingml/2006/main">
              <a:graphicData uri="http://schemas.openxmlformats.org/drawingml/2006/picture">
                <pic:pic xmlns:pic="http://schemas.openxmlformats.org/drawingml/2006/picture">
                  <pic:nvPicPr>
                    <pic:cNvPr id="249" name="Picture 249"/>
                    <pic:cNvPicPr/>
                  </pic:nvPicPr>
                  <pic:blipFill>
                    <a:blip r:embed="rId8"/>
                    <a:stretch>
                      <a:fillRect/>
                    </a:stretch>
                  </pic:blipFill>
                  <pic:spPr>
                    <a:xfrm>
                      <a:off x="0" y="0"/>
                      <a:ext cx="85090" cy="133985"/>
                    </a:xfrm>
                    <a:prstGeom prst="rect">
                      <a:avLst/>
                    </a:prstGeom>
                  </pic:spPr>
                </pic:pic>
              </a:graphicData>
            </a:graphic>
          </wp:inline>
        </w:drawing>
      </w:r>
      <w:r w:rsidRPr="00AB6B93">
        <w:rPr>
          <w:sz w:val="25"/>
        </w:rPr>
        <w:t xml:space="preserve"> </w:t>
      </w:r>
      <w:r>
        <w:t xml:space="preserve">Assure staff that they will not be victimised for raising a legitimate concern through the steps set out in the policy even if they turn out to be mistaken (though vexatious or malicious concerns may be considered a disciplinary issue) This policy does not form part of any employee’s contract of employment and may be amended at any time. The policy applies to all employees or other workers who provide services to </w:t>
      </w:r>
      <w:proofErr w:type="spellStart"/>
      <w:r w:rsidR="00AB6B93">
        <w:t>Conisbrough</w:t>
      </w:r>
      <w:proofErr w:type="spellEnd"/>
      <w:r w:rsidR="00AB6B93">
        <w:t xml:space="preserve"> Ivanhoe Primary Academy </w:t>
      </w:r>
      <w:r>
        <w:t xml:space="preserve">in any capacity including self-employed consultants or contractors who provide services on a personal basis and agency workers. </w:t>
      </w:r>
    </w:p>
    <w:p w14:paraId="75CD87A5" w14:textId="77777777" w:rsidR="00E81487" w:rsidRDefault="00CB3497">
      <w:pPr>
        <w:spacing w:after="177" w:line="259" w:lineRule="auto"/>
        <w:ind w:left="0" w:firstLine="0"/>
      </w:pPr>
      <w:r>
        <w:t xml:space="preserve"> </w:t>
      </w:r>
    </w:p>
    <w:p w14:paraId="68D9CBBC" w14:textId="67411102" w:rsidR="00E81487" w:rsidRPr="00AB6B93" w:rsidRDefault="00CB3497" w:rsidP="00AB6B93">
      <w:pPr>
        <w:pStyle w:val="Heading1"/>
        <w:numPr>
          <w:ilvl w:val="0"/>
          <w:numId w:val="4"/>
        </w:numPr>
        <w:rPr>
          <w:color w:val="auto"/>
        </w:rPr>
      </w:pPr>
      <w:r w:rsidRPr="00AB6B93">
        <w:rPr>
          <w:color w:val="auto"/>
        </w:rPr>
        <w:t xml:space="preserve">Legislation </w:t>
      </w:r>
    </w:p>
    <w:p w14:paraId="0669E2D0" w14:textId="77777777" w:rsidR="00E81487" w:rsidRDefault="00CB3497">
      <w:pPr>
        <w:ind w:left="-5"/>
      </w:pPr>
      <w:r>
        <w:t xml:space="preserve">The requirement to have clear whistle-blowing procedures in place is set out in the </w:t>
      </w:r>
      <w:hyperlink r:id="rId9">
        <w:r>
          <w:rPr>
            <w:color w:val="0072CC"/>
            <w:u w:val="single" w:color="0072CC"/>
          </w:rPr>
          <w:t>Academies Financial</w:t>
        </w:r>
      </w:hyperlink>
      <w:hyperlink r:id="rId10">
        <w:r>
          <w:rPr>
            <w:color w:val="0072CC"/>
          </w:rPr>
          <w:t xml:space="preserve"> </w:t>
        </w:r>
      </w:hyperlink>
      <w:hyperlink r:id="rId11">
        <w:r>
          <w:rPr>
            <w:color w:val="0072CC"/>
            <w:u w:val="single" w:color="0072CC"/>
          </w:rPr>
          <w:t>Handbook</w:t>
        </w:r>
      </w:hyperlink>
      <w:hyperlink r:id="rId12">
        <w:r>
          <w:t>.</w:t>
        </w:r>
      </w:hyperlink>
      <w:r>
        <w:t xml:space="preserve">  </w:t>
      </w:r>
    </w:p>
    <w:p w14:paraId="272EEE2D" w14:textId="77777777" w:rsidR="00E81487" w:rsidRDefault="00CB3497">
      <w:pPr>
        <w:ind w:left="-5"/>
      </w:pPr>
      <w:r>
        <w:t xml:space="preserve">This policy has been written in line with the above document, as well as </w:t>
      </w:r>
      <w:hyperlink r:id="rId13">
        <w:r>
          <w:rPr>
            <w:color w:val="0072CC"/>
            <w:u w:val="single" w:color="0072CC"/>
          </w:rPr>
          <w:t>government guidance on whistle</w:t>
        </w:r>
      </w:hyperlink>
      <w:hyperlink r:id="rId14"/>
      <w:hyperlink r:id="rId15">
        <w:r>
          <w:rPr>
            <w:color w:val="0072CC"/>
            <w:u w:val="single" w:color="0072CC"/>
          </w:rPr>
          <w:t>blowing</w:t>
        </w:r>
      </w:hyperlink>
      <w:hyperlink r:id="rId16">
        <w:r>
          <w:t>.</w:t>
        </w:r>
      </w:hyperlink>
      <w:r>
        <w:t xml:space="preserve"> We also take into account the </w:t>
      </w:r>
      <w:hyperlink r:id="rId17">
        <w:r>
          <w:rPr>
            <w:color w:val="0072CC"/>
            <w:u w:val="single" w:color="0072CC"/>
          </w:rPr>
          <w:t>Public Interest Disclosure Act 1998</w:t>
        </w:r>
      </w:hyperlink>
      <w:hyperlink r:id="rId18">
        <w:r>
          <w:t>.</w:t>
        </w:r>
      </w:hyperlink>
      <w:r>
        <w:t xml:space="preserve"> </w:t>
      </w:r>
    </w:p>
    <w:p w14:paraId="4E73F90E" w14:textId="77777777" w:rsidR="00E81487" w:rsidRDefault="00CB3497">
      <w:pPr>
        <w:spacing w:after="183"/>
        <w:ind w:left="-5"/>
      </w:pPr>
      <w:r>
        <w:t xml:space="preserve">This policy complies with our funding agreement and articles of association. </w:t>
      </w:r>
    </w:p>
    <w:p w14:paraId="52267D94" w14:textId="77777777" w:rsidR="00E81487" w:rsidRDefault="00CB3497">
      <w:pPr>
        <w:spacing w:after="93" w:line="259" w:lineRule="auto"/>
        <w:ind w:left="0" w:firstLine="0"/>
      </w:pPr>
      <w:r>
        <w:rPr>
          <w:b/>
          <w:color w:val="FF1F64"/>
          <w:sz w:val="28"/>
        </w:rPr>
        <w:t xml:space="preserve"> </w:t>
      </w:r>
    </w:p>
    <w:p w14:paraId="29AC7B65" w14:textId="7A7042D3" w:rsidR="00E81487" w:rsidRPr="00AB6B93" w:rsidRDefault="00CB3497" w:rsidP="00AB6B93">
      <w:pPr>
        <w:pStyle w:val="Heading1"/>
        <w:numPr>
          <w:ilvl w:val="0"/>
          <w:numId w:val="4"/>
        </w:numPr>
        <w:rPr>
          <w:color w:val="auto"/>
        </w:rPr>
      </w:pPr>
      <w:r w:rsidRPr="00AB6B93">
        <w:rPr>
          <w:color w:val="auto"/>
        </w:rPr>
        <w:t xml:space="preserve">Definition of whistle-blowing </w:t>
      </w:r>
    </w:p>
    <w:p w14:paraId="5906A95B" w14:textId="77777777" w:rsidR="00E81487" w:rsidRDefault="00CB3497">
      <w:pPr>
        <w:ind w:left="-5"/>
      </w:pPr>
      <w:r>
        <w:t xml:space="preserve">Whistle-blowing covers concerns made that report wrongdoing that is “in the public interest”. Examples of whistle-blowing include (but aren’t limited to): </w:t>
      </w:r>
    </w:p>
    <w:p w14:paraId="6F9BF5D3" w14:textId="77777777" w:rsidR="00E81487" w:rsidRDefault="00CB3497">
      <w:pPr>
        <w:ind w:left="180"/>
      </w:pPr>
      <w:r>
        <w:rPr>
          <w:noProof/>
        </w:rPr>
        <w:drawing>
          <wp:inline distT="0" distB="0" distL="0" distR="0" wp14:anchorId="5E4E169F" wp14:editId="74C6C1C7">
            <wp:extent cx="64135" cy="102234"/>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9"/>
                    <a:stretch>
                      <a:fillRect/>
                    </a:stretch>
                  </pic:blipFill>
                  <pic:spPr>
                    <a:xfrm>
                      <a:off x="0" y="0"/>
                      <a:ext cx="64135" cy="102234"/>
                    </a:xfrm>
                    <a:prstGeom prst="rect">
                      <a:avLst/>
                    </a:prstGeom>
                  </pic:spPr>
                </pic:pic>
              </a:graphicData>
            </a:graphic>
          </wp:inline>
        </w:drawing>
      </w:r>
      <w:r>
        <w:t xml:space="preserve"> Criminal offences, such as fraud or corruption </w:t>
      </w:r>
    </w:p>
    <w:p w14:paraId="4D32A3D3" w14:textId="77777777" w:rsidR="00E81487" w:rsidRDefault="00CB3497">
      <w:pPr>
        <w:ind w:left="180"/>
      </w:pPr>
      <w:r>
        <w:rPr>
          <w:noProof/>
        </w:rPr>
        <w:drawing>
          <wp:inline distT="0" distB="0" distL="0" distR="0" wp14:anchorId="0804DE57" wp14:editId="3DD26A93">
            <wp:extent cx="64135" cy="102235"/>
            <wp:effectExtent l="0" t="0" r="0" b="0"/>
            <wp:docPr id="398" name="Picture 398"/>
            <wp:cNvGraphicFramePr/>
            <a:graphic xmlns:a="http://schemas.openxmlformats.org/drawingml/2006/main">
              <a:graphicData uri="http://schemas.openxmlformats.org/drawingml/2006/picture">
                <pic:pic xmlns:pic="http://schemas.openxmlformats.org/drawingml/2006/picture">
                  <pic:nvPicPr>
                    <pic:cNvPr id="398" name="Picture 398"/>
                    <pic:cNvPicPr/>
                  </pic:nvPicPr>
                  <pic:blipFill>
                    <a:blip r:embed="rId19"/>
                    <a:stretch>
                      <a:fillRect/>
                    </a:stretch>
                  </pic:blipFill>
                  <pic:spPr>
                    <a:xfrm>
                      <a:off x="0" y="0"/>
                      <a:ext cx="64135" cy="102235"/>
                    </a:xfrm>
                    <a:prstGeom prst="rect">
                      <a:avLst/>
                    </a:prstGeom>
                  </pic:spPr>
                </pic:pic>
              </a:graphicData>
            </a:graphic>
          </wp:inline>
        </w:drawing>
      </w:r>
      <w:r>
        <w:t xml:space="preserve"> Pupils’ or staff’s health and safety being put in danger </w:t>
      </w:r>
    </w:p>
    <w:p w14:paraId="2AC3BF61" w14:textId="7D3FA660" w:rsidR="00E81487" w:rsidRDefault="00CB3497" w:rsidP="00AB6B93">
      <w:pPr>
        <w:pStyle w:val="ListParagraph"/>
        <w:numPr>
          <w:ilvl w:val="0"/>
          <w:numId w:val="8"/>
        </w:numPr>
      </w:pPr>
      <w:r>
        <w:lastRenderedPageBreak/>
        <w:t xml:space="preserve">Failure to comply with a legal obligation or statutory requirement </w:t>
      </w:r>
    </w:p>
    <w:p w14:paraId="04C36CC7" w14:textId="46A24211" w:rsidR="00AB6B93" w:rsidRDefault="00CB3497" w:rsidP="00AB6B93">
      <w:pPr>
        <w:pStyle w:val="ListParagraph"/>
        <w:numPr>
          <w:ilvl w:val="0"/>
          <w:numId w:val="8"/>
        </w:numPr>
      </w:pPr>
      <w:r>
        <w:t xml:space="preserve">Breaches of financial management procedures </w:t>
      </w:r>
    </w:p>
    <w:p w14:paraId="687CAC47" w14:textId="198B0174" w:rsidR="00AB6B93" w:rsidRDefault="00CB3497" w:rsidP="00AB6B93">
      <w:pPr>
        <w:pStyle w:val="ListParagraph"/>
        <w:numPr>
          <w:ilvl w:val="0"/>
          <w:numId w:val="8"/>
        </w:numPr>
      </w:pPr>
      <w:r>
        <w:t>Attempts to cover up the above, or any other wrongdoing in the public interest</w:t>
      </w:r>
    </w:p>
    <w:p w14:paraId="195B0DA0" w14:textId="5D416AE8" w:rsidR="00E81487" w:rsidRDefault="00CB3497" w:rsidP="00AB6B93">
      <w:pPr>
        <w:pStyle w:val="ListParagraph"/>
        <w:numPr>
          <w:ilvl w:val="0"/>
          <w:numId w:val="8"/>
        </w:numPr>
        <w:spacing w:after="0" w:line="367" w:lineRule="auto"/>
        <w:ind w:right="1718"/>
      </w:pPr>
      <w:r>
        <w:t xml:space="preserve">Damage to the environment </w:t>
      </w:r>
    </w:p>
    <w:p w14:paraId="5526840C" w14:textId="77777777" w:rsidR="00E81487" w:rsidRDefault="00CB3497">
      <w:pPr>
        <w:ind w:left="-5"/>
      </w:pPr>
      <w:r>
        <w:t xml:space="preserve">A whistle-blower is a person who raises a genuine concern relating to the above. </w:t>
      </w:r>
    </w:p>
    <w:p w14:paraId="41A4A0CB" w14:textId="6B0B1CC3" w:rsidR="00E81487" w:rsidRDefault="00CB3497">
      <w:pPr>
        <w:ind w:left="-5"/>
      </w:pPr>
      <w:r>
        <w:t xml:space="preserve">Not all concerns about </w:t>
      </w:r>
      <w:proofErr w:type="spellStart"/>
      <w:r w:rsidR="00AB6B93">
        <w:t>Conisbrough</w:t>
      </w:r>
      <w:proofErr w:type="spellEnd"/>
      <w:r w:rsidR="00AB6B93">
        <w:t xml:space="preserve"> Ivanhoe Primary Academy </w:t>
      </w:r>
      <w:r>
        <w:t xml:space="preserve">count as whistle-blowing. For example, personal staff grievances such as bullying or harassment do not usually count as whistle-blowing. If something affects a staff member as an individual, or relates to an individual employment contract, this is likely a grievance.  </w:t>
      </w:r>
    </w:p>
    <w:p w14:paraId="63B95CD1" w14:textId="77777777" w:rsidR="00E81487" w:rsidRDefault="00CB3497">
      <w:pPr>
        <w:ind w:left="-5"/>
      </w:pPr>
      <w:r>
        <w:t xml:space="preserve">When staff have a </w:t>
      </w:r>
      <w:proofErr w:type="gramStart"/>
      <w:r>
        <w:t>concern</w:t>
      </w:r>
      <w:proofErr w:type="gramEnd"/>
      <w:r>
        <w:t xml:space="preserve"> they should consider whether it would be better to follow our staff grievance or complaints procedures.  </w:t>
      </w:r>
    </w:p>
    <w:p w14:paraId="592AAC4B" w14:textId="77777777" w:rsidR="00E81487" w:rsidRDefault="00CB3497">
      <w:pPr>
        <w:ind w:left="-5"/>
      </w:pPr>
      <w:r>
        <w:t xml:space="preserve">Protect (formerly Public Concern at Work) has: </w:t>
      </w:r>
    </w:p>
    <w:p w14:paraId="5520A870" w14:textId="77777777" w:rsidR="00E81487" w:rsidRDefault="00CB3497">
      <w:pPr>
        <w:ind w:left="341" w:hanging="171"/>
      </w:pPr>
      <w:r>
        <w:rPr>
          <w:noProof/>
        </w:rPr>
        <w:drawing>
          <wp:inline distT="0" distB="0" distL="0" distR="0" wp14:anchorId="09300D79" wp14:editId="1381A211">
            <wp:extent cx="64135" cy="101600"/>
            <wp:effectExtent l="0" t="0" r="0" b="0"/>
            <wp:docPr id="467" name="Picture 467"/>
            <wp:cNvGraphicFramePr/>
            <a:graphic xmlns:a="http://schemas.openxmlformats.org/drawingml/2006/main">
              <a:graphicData uri="http://schemas.openxmlformats.org/drawingml/2006/picture">
                <pic:pic xmlns:pic="http://schemas.openxmlformats.org/drawingml/2006/picture">
                  <pic:nvPicPr>
                    <pic:cNvPr id="467" name="Picture 467"/>
                    <pic:cNvPicPr/>
                  </pic:nvPicPr>
                  <pic:blipFill>
                    <a:blip r:embed="rId19"/>
                    <a:stretch>
                      <a:fillRect/>
                    </a:stretch>
                  </pic:blipFill>
                  <pic:spPr>
                    <a:xfrm>
                      <a:off x="0" y="0"/>
                      <a:ext cx="64135" cy="101600"/>
                    </a:xfrm>
                    <a:prstGeom prst="rect">
                      <a:avLst/>
                    </a:prstGeom>
                  </pic:spPr>
                </pic:pic>
              </a:graphicData>
            </a:graphic>
          </wp:inline>
        </w:drawing>
      </w:r>
      <w:hyperlink r:id="rId20">
        <w:r>
          <w:t xml:space="preserve"> </w:t>
        </w:r>
      </w:hyperlink>
      <w:hyperlink r:id="rId21">
        <w:r>
          <w:t>Further guidance</w:t>
        </w:r>
      </w:hyperlink>
      <w:hyperlink r:id="rId22">
        <w:r>
          <w:t xml:space="preserve"> </w:t>
        </w:r>
      </w:hyperlink>
      <w:r>
        <w:t xml:space="preserve">on the difference between a whistle-blowing concern and a grievance that staff may find useful if unsure </w:t>
      </w:r>
    </w:p>
    <w:p w14:paraId="60EABFCE" w14:textId="77777777" w:rsidR="00E81487" w:rsidRDefault="00CB3497">
      <w:pPr>
        <w:spacing w:after="183"/>
        <w:ind w:left="180"/>
      </w:pPr>
      <w:r>
        <w:rPr>
          <w:noProof/>
        </w:rPr>
        <w:drawing>
          <wp:inline distT="0" distB="0" distL="0" distR="0" wp14:anchorId="6F33281C" wp14:editId="1896B462">
            <wp:extent cx="64135" cy="102234"/>
            <wp:effectExtent l="0" t="0" r="0" b="0"/>
            <wp:docPr id="479" name="Picture 479"/>
            <wp:cNvGraphicFramePr/>
            <a:graphic xmlns:a="http://schemas.openxmlformats.org/drawingml/2006/main">
              <a:graphicData uri="http://schemas.openxmlformats.org/drawingml/2006/picture">
                <pic:pic xmlns:pic="http://schemas.openxmlformats.org/drawingml/2006/picture">
                  <pic:nvPicPr>
                    <pic:cNvPr id="479" name="Picture 479"/>
                    <pic:cNvPicPr/>
                  </pic:nvPicPr>
                  <pic:blipFill>
                    <a:blip r:embed="rId19"/>
                    <a:stretch>
                      <a:fillRect/>
                    </a:stretch>
                  </pic:blipFill>
                  <pic:spPr>
                    <a:xfrm>
                      <a:off x="0" y="0"/>
                      <a:ext cx="64135" cy="102234"/>
                    </a:xfrm>
                    <a:prstGeom prst="rect">
                      <a:avLst/>
                    </a:prstGeom>
                  </pic:spPr>
                </pic:pic>
              </a:graphicData>
            </a:graphic>
          </wp:inline>
        </w:drawing>
      </w:r>
      <w:r>
        <w:t xml:space="preserve"> A free and confidential </w:t>
      </w:r>
      <w:hyperlink r:id="rId23">
        <w:r>
          <w:t>advice line</w:t>
        </w:r>
      </w:hyperlink>
      <w:hyperlink r:id="rId24">
        <w:r>
          <w:t xml:space="preserve"> </w:t>
        </w:r>
      </w:hyperlink>
    </w:p>
    <w:p w14:paraId="28CD29FD" w14:textId="77777777" w:rsidR="00E81487" w:rsidRPr="00844F4A" w:rsidRDefault="00CB3497">
      <w:pPr>
        <w:spacing w:after="93" w:line="259" w:lineRule="auto"/>
        <w:ind w:left="0" w:firstLine="0"/>
        <w:rPr>
          <w:color w:val="auto"/>
        </w:rPr>
      </w:pPr>
      <w:r w:rsidRPr="00844F4A">
        <w:rPr>
          <w:b/>
          <w:color w:val="auto"/>
          <w:sz w:val="28"/>
        </w:rPr>
        <w:t xml:space="preserve"> </w:t>
      </w:r>
    </w:p>
    <w:p w14:paraId="61D094D1" w14:textId="77CE8914" w:rsidR="00E81487" w:rsidRDefault="00844F4A" w:rsidP="00844F4A">
      <w:pPr>
        <w:pStyle w:val="Heading1"/>
        <w:numPr>
          <w:ilvl w:val="0"/>
          <w:numId w:val="0"/>
        </w:numPr>
        <w:spacing w:after="177"/>
        <w:ind w:left="10" w:hanging="10"/>
      </w:pPr>
      <w:r>
        <w:rPr>
          <w:color w:val="auto"/>
        </w:rPr>
        <w:t xml:space="preserve">4. </w:t>
      </w:r>
      <w:r w:rsidR="00CB3497" w:rsidRPr="00844F4A">
        <w:rPr>
          <w:color w:val="auto"/>
        </w:rPr>
        <w:t xml:space="preserve">Procedure for staff to raise a whistle-blowing concern </w:t>
      </w:r>
    </w:p>
    <w:p w14:paraId="19EA01D3" w14:textId="77777777" w:rsidR="00E81487" w:rsidRDefault="00CB3497" w:rsidP="00AB6B93">
      <w:pPr>
        <w:pStyle w:val="Heading2"/>
        <w:numPr>
          <w:ilvl w:val="1"/>
          <w:numId w:val="4"/>
        </w:numPr>
        <w:ind w:left="387"/>
      </w:pPr>
      <w:r>
        <w:t xml:space="preserve">When to raise a concern </w:t>
      </w:r>
    </w:p>
    <w:p w14:paraId="4154C4B5" w14:textId="77777777" w:rsidR="00E81487" w:rsidRDefault="00CB3497">
      <w:pPr>
        <w:spacing w:after="270"/>
        <w:ind w:left="-5"/>
      </w:pPr>
      <w:r>
        <w:t xml:space="preserve">Staff should consider the examples in section 3 when deciding whether their concern is of a whistle-blowing nature. Consider whether the incident(s) was illegal, breached statutory or trust procedures, put people in danger or was an attempt to cover any such activity up.  </w:t>
      </w:r>
    </w:p>
    <w:p w14:paraId="6C0B3169" w14:textId="77777777" w:rsidR="00E81487" w:rsidRDefault="00CB3497" w:rsidP="00AB6B93">
      <w:pPr>
        <w:pStyle w:val="Heading2"/>
        <w:numPr>
          <w:ilvl w:val="1"/>
          <w:numId w:val="4"/>
        </w:numPr>
        <w:ind w:left="387"/>
      </w:pPr>
      <w:r>
        <w:t xml:space="preserve">Who to report to </w:t>
      </w:r>
    </w:p>
    <w:p w14:paraId="04738B4D" w14:textId="293BAD40" w:rsidR="00E81487" w:rsidRDefault="00CB3497">
      <w:pPr>
        <w:spacing w:after="267"/>
        <w:ind w:left="-5"/>
      </w:pPr>
      <w:r>
        <w:t xml:space="preserve">Staff should report their concern to the Headteacher. If the concern is about the Headteacher, or it is believed they may be involved in the wrongdoing in some way, the staff member should report their concern to the Chair of the </w:t>
      </w:r>
      <w:r w:rsidR="00844F4A">
        <w:t>Governors</w:t>
      </w:r>
      <w:r>
        <w:t>.</w:t>
      </w:r>
      <w:r w:rsidR="00844F4A">
        <w:t xml:space="preserve"> </w:t>
      </w:r>
    </w:p>
    <w:p w14:paraId="5FB3A9B7" w14:textId="77777777" w:rsidR="00E81487" w:rsidRDefault="00CB3497" w:rsidP="00AB6B93">
      <w:pPr>
        <w:pStyle w:val="Heading2"/>
        <w:numPr>
          <w:ilvl w:val="1"/>
          <w:numId w:val="4"/>
        </w:numPr>
        <w:ind w:left="387"/>
      </w:pPr>
      <w:r>
        <w:t xml:space="preserve">How to raise the concern </w:t>
      </w:r>
    </w:p>
    <w:p w14:paraId="0A82B9C9" w14:textId="77777777" w:rsidR="00E81487" w:rsidRDefault="00CB3497">
      <w:pPr>
        <w:spacing w:after="186"/>
        <w:ind w:left="-5"/>
      </w:pPr>
      <w:r>
        <w:t xml:space="preserve">Concerns should be made in writing wherever possible. They should include names of those committing wrongdoing, dates, places and as much evidence and context as possible. Staff raising a concern should also include details of any personal interest in the matter.  </w:t>
      </w:r>
    </w:p>
    <w:p w14:paraId="541E0180" w14:textId="77777777" w:rsidR="00E81487" w:rsidRDefault="00CB3497">
      <w:pPr>
        <w:spacing w:after="93" w:line="259" w:lineRule="auto"/>
        <w:ind w:left="0" w:firstLine="0"/>
      </w:pPr>
      <w:r>
        <w:rPr>
          <w:b/>
          <w:color w:val="FF1F64"/>
          <w:sz w:val="28"/>
        </w:rPr>
        <w:t xml:space="preserve"> </w:t>
      </w:r>
    </w:p>
    <w:p w14:paraId="1E2C6F28" w14:textId="07F6D697" w:rsidR="00E81487" w:rsidRPr="00844F4A" w:rsidRDefault="00844F4A" w:rsidP="00844F4A">
      <w:pPr>
        <w:pStyle w:val="Heading1"/>
        <w:numPr>
          <w:ilvl w:val="0"/>
          <w:numId w:val="9"/>
        </w:numPr>
        <w:spacing w:after="177"/>
        <w:rPr>
          <w:color w:val="auto"/>
        </w:rPr>
      </w:pPr>
      <w:proofErr w:type="spellStart"/>
      <w:r w:rsidRPr="00844F4A">
        <w:rPr>
          <w:color w:val="auto"/>
        </w:rPr>
        <w:t>Conisbrough</w:t>
      </w:r>
      <w:proofErr w:type="spellEnd"/>
      <w:r w:rsidRPr="00844F4A">
        <w:rPr>
          <w:color w:val="auto"/>
        </w:rPr>
        <w:t xml:space="preserve"> Ivanhoe Primary Academy</w:t>
      </w:r>
      <w:r w:rsidR="00CB3497" w:rsidRPr="00844F4A">
        <w:rPr>
          <w:color w:val="auto"/>
        </w:rPr>
        <w:t xml:space="preserve"> procedure for responding to a whistle-blowing concern </w:t>
      </w:r>
    </w:p>
    <w:p w14:paraId="29B11B56" w14:textId="77777777" w:rsidR="00E81487" w:rsidRDefault="00CB3497" w:rsidP="00844F4A">
      <w:pPr>
        <w:pStyle w:val="Heading2"/>
        <w:numPr>
          <w:ilvl w:val="1"/>
          <w:numId w:val="9"/>
        </w:numPr>
        <w:ind w:left="387"/>
      </w:pPr>
      <w:r>
        <w:t xml:space="preserve">Investigating the concern </w:t>
      </w:r>
    </w:p>
    <w:p w14:paraId="0A7288DD" w14:textId="15D73147" w:rsidR="00E81487" w:rsidRDefault="00CB3497">
      <w:pPr>
        <w:ind w:left="-5"/>
      </w:pPr>
      <w:r>
        <w:t>When a concern is received by the Headteacher/</w:t>
      </w:r>
      <w:r w:rsidR="00844F4A">
        <w:t>Chair of Governors</w:t>
      </w:r>
      <w:r>
        <w:t xml:space="preserve"> - referred to from here as the ‘recipient’ - they will: </w:t>
      </w:r>
    </w:p>
    <w:p w14:paraId="66F938DC" w14:textId="77777777" w:rsidR="00E81487" w:rsidRDefault="00CB3497">
      <w:pPr>
        <w:ind w:left="341" w:hanging="171"/>
      </w:pPr>
      <w:r>
        <w:rPr>
          <w:noProof/>
        </w:rPr>
        <w:drawing>
          <wp:inline distT="0" distB="0" distL="0" distR="0" wp14:anchorId="6892D0F7" wp14:editId="63678ADD">
            <wp:extent cx="64135" cy="102234"/>
            <wp:effectExtent l="0" t="0" r="0" b="0"/>
            <wp:docPr id="568" name="Picture 568"/>
            <wp:cNvGraphicFramePr/>
            <a:graphic xmlns:a="http://schemas.openxmlformats.org/drawingml/2006/main">
              <a:graphicData uri="http://schemas.openxmlformats.org/drawingml/2006/picture">
                <pic:pic xmlns:pic="http://schemas.openxmlformats.org/drawingml/2006/picture">
                  <pic:nvPicPr>
                    <pic:cNvPr id="568" name="Picture 568"/>
                    <pic:cNvPicPr/>
                  </pic:nvPicPr>
                  <pic:blipFill>
                    <a:blip r:embed="rId19"/>
                    <a:stretch>
                      <a:fillRect/>
                    </a:stretch>
                  </pic:blipFill>
                  <pic:spPr>
                    <a:xfrm>
                      <a:off x="0" y="0"/>
                      <a:ext cx="64135" cy="102234"/>
                    </a:xfrm>
                    <a:prstGeom prst="rect">
                      <a:avLst/>
                    </a:prstGeom>
                  </pic:spPr>
                </pic:pic>
              </a:graphicData>
            </a:graphic>
          </wp:inline>
        </w:drawing>
      </w:r>
      <w:r>
        <w:t xml:space="preserve"> Meet with the person raising the concern within a reasonable time. The person raising the concern may be joined by a trade union or professional association representative </w:t>
      </w:r>
    </w:p>
    <w:p w14:paraId="02074111" w14:textId="77777777" w:rsidR="00E81487" w:rsidRDefault="00CB3497">
      <w:pPr>
        <w:ind w:left="341" w:hanging="171"/>
      </w:pPr>
      <w:r>
        <w:rPr>
          <w:noProof/>
        </w:rPr>
        <w:drawing>
          <wp:inline distT="0" distB="0" distL="0" distR="0" wp14:anchorId="16473926" wp14:editId="456819C2">
            <wp:extent cx="64135" cy="102234"/>
            <wp:effectExtent l="0" t="0" r="0" b="0"/>
            <wp:docPr id="579" name="Picture 579"/>
            <wp:cNvGraphicFramePr/>
            <a:graphic xmlns:a="http://schemas.openxmlformats.org/drawingml/2006/main">
              <a:graphicData uri="http://schemas.openxmlformats.org/drawingml/2006/picture">
                <pic:pic xmlns:pic="http://schemas.openxmlformats.org/drawingml/2006/picture">
                  <pic:nvPicPr>
                    <pic:cNvPr id="579" name="Picture 579"/>
                    <pic:cNvPicPr/>
                  </pic:nvPicPr>
                  <pic:blipFill>
                    <a:blip r:embed="rId19"/>
                    <a:stretch>
                      <a:fillRect/>
                    </a:stretch>
                  </pic:blipFill>
                  <pic:spPr>
                    <a:xfrm>
                      <a:off x="0" y="0"/>
                      <a:ext cx="64135" cy="102234"/>
                    </a:xfrm>
                    <a:prstGeom prst="rect">
                      <a:avLst/>
                    </a:prstGeom>
                  </pic:spPr>
                </pic:pic>
              </a:graphicData>
            </a:graphic>
          </wp:inline>
        </w:drawing>
      </w:r>
      <w:r>
        <w:t xml:space="preserve"> Get as much detail as possible about the concern at this meeting, and record the information. If it becomes apparent the concern is not of a whistle-blowing nature, the recipient should handle the concern in line with the appropriate policy/procedure </w:t>
      </w:r>
    </w:p>
    <w:p w14:paraId="6B57E74A" w14:textId="77777777" w:rsidR="00E81487" w:rsidRDefault="00CB3497">
      <w:pPr>
        <w:ind w:left="341" w:hanging="171"/>
      </w:pPr>
      <w:r>
        <w:rPr>
          <w:noProof/>
        </w:rPr>
        <w:lastRenderedPageBreak/>
        <w:drawing>
          <wp:inline distT="0" distB="0" distL="0" distR="0" wp14:anchorId="45B0EEBC" wp14:editId="2FC3722C">
            <wp:extent cx="64135" cy="102234"/>
            <wp:effectExtent l="0" t="0" r="0" b="0"/>
            <wp:docPr id="600" name="Picture 600"/>
            <wp:cNvGraphicFramePr/>
            <a:graphic xmlns:a="http://schemas.openxmlformats.org/drawingml/2006/main">
              <a:graphicData uri="http://schemas.openxmlformats.org/drawingml/2006/picture">
                <pic:pic xmlns:pic="http://schemas.openxmlformats.org/drawingml/2006/picture">
                  <pic:nvPicPr>
                    <pic:cNvPr id="600" name="Picture 600"/>
                    <pic:cNvPicPr/>
                  </pic:nvPicPr>
                  <pic:blipFill>
                    <a:blip r:embed="rId19"/>
                    <a:stretch>
                      <a:fillRect/>
                    </a:stretch>
                  </pic:blipFill>
                  <pic:spPr>
                    <a:xfrm>
                      <a:off x="0" y="0"/>
                      <a:ext cx="64135" cy="102234"/>
                    </a:xfrm>
                    <a:prstGeom prst="rect">
                      <a:avLst/>
                    </a:prstGeom>
                  </pic:spPr>
                </pic:pic>
              </a:graphicData>
            </a:graphic>
          </wp:inline>
        </w:drawing>
      </w:r>
      <w:r>
        <w:t xml:space="preserve"> Reiterate, at this meeting, that they are protected from any unfair treatment or risk of dismissal as a result of raising the concern. If the concern is found to be malicious or vexatious, disciplinary action may be taken (see section 6 of this policy) </w:t>
      </w:r>
    </w:p>
    <w:p w14:paraId="2650F1FB" w14:textId="77777777" w:rsidR="00E81487" w:rsidRDefault="00CB3497">
      <w:pPr>
        <w:ind w:left="180"/>
      </w:pPr>
      <w:r>
        <w:rPr>
          <w:noProof/>
        </w:rPr>
        <w:drawing>
          <wp:inline distT="0" distB="0" distL="0" distR="0" wp14:anchorId="77FFCD95" wp14:editId="2B7ED7E6">
            <wp:extent cx="64135" cy="102235"/>
            <wp:effectExtent l="0" t="0" r="0" b="0"/>
            <wp:docPr id="646" name="Picture 646"/>
            <wp:cNvGraphicFramePr/>
            <a:graphic xmlns:a="http://schemas.openxmlformats.org/drawingml/2006/main">
              <a:graphicData uri="http://schemas.openxmlformats.org/drawingml/2006/picture">
                <pic:pic xmlns:pic="http://schemas.openxmlformats.org/drawingml/2006/picture">
                  <pic:nvPicPr>
                    <pic:cNvPr id="646" name="Picture 646"/>
                    <pic:cNvPicPr/>
                  </pic:nvPicPr>
                  <pic:blipFill>
                    <a:blip r:embed="rId19"/>
                    <a:stretch>
                      <a:fillRect/>
                    </a:stretch>
                  </pic:blipFill>
                  <pic:spPr>
                    <a:xfrm>
                      <a:off x="0" y="0"/>
                      <a:ext cx="64135" cy="102235"/>
                    </a:xfrm>
                    <a:prstGeom prst="rect">
                      <a:avLst/>
                    </a:prstGeom>
                  </pic:spPr>
                </pic:pic>
              </a:graphicData>
            </a:graphic>
          </wp:inline>
        </w:drawing>
      </w:r>
      <w:r>
        <w:t xml:space="preserve"> Establish whether there is sufficient cause for concern to warrant further investigation. If there is: </w:t>
      </w:r>
    </w:p>
    <w:p w14:paraId="0A5FEA8D" w14:textId="77777777" w:rsidR="00E81487" w:rsidRDefault="00CB3497">
      <w:pPr>
        <w:numPr>
          <w:ilvl w:val="0"/>
          <w:numId w:val="2"/>
        </w:numPr>
        <w:ind w:hanging="360"/>
      </w:pPr>
      <w:r>
        <w:t xml:space="preserve">The recipient should then arrange a further investigation into the matter, involving the Headteacher and/or Chair of Trustees, if appropriate. In some cases, they may need to bring in an external, independent body to investigate. In others cases, they may need to report the matter to the police </w:t>
      </w:r>
    </w:p>
    <w:p w14:paraId="1CB5D7D3" w14:textId="77777777" w:rsidR="00E81487" w:rsidRDefault="00CB3497">
      <w:pPr>
        <w:numPr>
          <w:ilvl w:val="0"/>
          <w:numId w:val="2"/>
        </w:numPr>
        <w:spacing w:after="267"/>
        <w:ind w:hanging="360"/>
      </w:pPr>
      <w:r>
        <w:t xml:space="preserve">The person who raised the concern should be informed of how the matter is being investigated and an estimated timeframe for when they will be informed of the next steps </w:t>
      </w:r>
    </w:p>
    <w:p w14:paraId="072580C3" w14:textId="77777777" w:rsidR="00E81487" w:rsidRDefault="00CB3497" w:rsidP="00844F4A">
      <w:pPr>
        <w:pStyle w:val="Heading2"/>
        <w:numPr>
          <w:ilvl w:val="1"/>
          <w:numId w:val="9"/>
        </w:numPr>
        <w:ind w:left="387"/>
      </w:pPr>
      <w:r>
        <w:t xml:space="preserve">Outcome of the investigation </w:t>
      </w:r>
    </w:p>
    <w:p w14:paraId="44C97AC7" w14:textId="77777777" w:rsidR="00E81487" w:rsidRDefault="00CB3497">
      <w:pPr>
        <w:ind w:left="-5"/>
      </w:pPr>
      <w:r>
        <w:t xml:space="preserve">Once the investigation – whether this was just the initial investigation of the concern, or whether further investigation was needed – is complete, the investigating person(s) will prepare a report detailing the findings and confirming whether or not any wrongdoing has occurred. The report will include any recommendations and details on how the matter can be rectified and whether or not a referral is required to an external organisation, such as the local authority or police.   </w:t>
      </w:r>
    </w:p>
    <w:p w14:paraId="0077F824" w14:textId="77777777" w:rsidR="00E81487" w:rsidRDefault="00CB3497">
      <w:pPr>
        <w:ind w:left="-5"/>
      </w:pPr>
      <w:r>
        <w:t xml:space="preserve">They will inform the person who raised the concern of the outcome of the investigation, though certain details may need to be restricted due to confidentiality. </w:t>
      </w:r>
    </w:p>
    <w:p w14:paraId="15773A5F" w14:textId="77777777" w:rsidR="00E81487" w:rsidRDefault="00CB3497">
      <w:pPr>
        <w:ind w:left="-5"/>
      </w:pPr>
      <w:r>
        <w:t xml:space="preserve">Beyond the immediate actions, the Headteacher, Trustees and other staff if necessary will review the relevant policies and procedures to prevent future occurrences of the same wrongdoing. </w:t>
      </w:r>
    </w:p>
    <w:p w14:paraId="1A071852" w14:textId="77777777" w:rsidR="00E81487" w:rsidRDefault="00CB3497">
      <w:pPr>
        <w:spacing w:after="186"/>
        <w:ind w:left="-5"/>
      </w:pPr>
      <w:r>
        <w:t xml:space="preserve">Whilst we cannot always guarantee the outcome sought, we will try to deal with concerns fairly and in an appropriate way.   </w:t>
      </w:r>
    </w:p>
    <w:p w14:paraId="1D3CBD8C" w14:textId="77777777" w:rsidR="00E81487" w:rsidRDefault="00CB3497">
      <w:pPr>
        <w:spacing w:after="93" w:line="259" w:lineRule="auto"/>
        <w:ind w:left="0" w:firstLine="0"/>
      </w:pPr>
      <w:r>
        <w:rPr>
          <w:b/>
          <w:color w:val="FF1F64"/>
          <w:sz w:val="28"/>
        </w:rPr>
        <w:t xml:space="preserve"> </w:t>
      </w:r>
    </w:p>
    <w:p w14:paraId="3E406516" w14:textId="77777777" w:rsidR="00E81487" w:rsidRPr="00B21EE8" w:rsidRDefault="00CB3497" w:rsidP="00844F4A">
      <w:pPr>
        <w:pStyle w:val="Heading1"/>
        <w:numPr>
          <w:ilvl w:val="0"/>
          <w:numId w:val="9"/>
        </w:numPr>
        <w:ind w:left="297"/>
        <w:rPr>
          <w:color w:val="auto"/>
        </w:rPr>
      </w:pPr>
      <w:r w:rsidRPr="00B21EE8">
        <w:rPr>
          <w:color w:val="auto"/>
        </w:rPr>
        <w:t xml:space="preserve">Malicious or vexatious allegations </w:t>
      </w:r>
    </w:p>
    <w:p w14:paraId="4772C82F" w14:textId="77777777" w:rsidR="00E81487" w:rsidRDefault="00CB3497">
      <w:pPr>
        <w:ind w:left="-5"/>
      </w:pPr>
      <w:r>
        <w:t xml:space="preserve">Staff are encouraged to raise concerns when they believe there to potentially be an issue. If an allegation is made in good faith, but the investigation finds no wrongdoing, there will be no disciplinary action against the member of staff who raised the concern. </w:t>
      </w:r>
    </w:p>
    <w:p w14:paraId="1976844D" w14:textId="77777777" w:rsidR="00E81487" w:rsidRDefault="00CB3497">
      <w:pPr>
        <w:spacing w:after="186"/>
        <w:ind w:left="-5"/>
      </w:pPr>
      <w:r>
        <w:t xml:space="preserve">If, however, an allegation is shown to be deliberately invented or malicious, the trust will consider whether any disciplinary action is appropriate against the person making the allegation. </w:t>
      </w:r>
    </w:p>
    <w:p w14:paraId="72BE2D8D" w14:textId="77777777" w:rsidR="00E81487" w:rsidRDefault="00CB3497">
      <w:pPr>
        <w:spacing w:after="93" w:line="259" w:lineRule="auto"/>
        <w:ind w:left="0" w:firstLine="0"/>
      </w:pPr>
      <w:r>
        <w:rPr>
          <w:b/>
          <w:color w:val="FF1F64"/>
          <w:sz w:val="28"/>
        </w:rPr>
        <w:t xml:space="preserve"> </w:t>
      </w:r>
    </w:p>
    <w:p w14:paraId="04E6612E" w14:textId="77777777" w:rsidR="00E81487" w:rsidRPr="00B21EE8" w:rsidRDefault="00CB3497" w:rsidP="00844F4A">
      <w:pPr>
        <w:pStyle w:val="Heading1"/>
        <w:numPr>
          <w:ilvl w:val="0"/>
          <w:numId w:val="9"/>
        </w:numPr>
        <w:ind w:left="299"/>
        <w:rPr>
          <w:color w:val="auto"/>
        </w:rPr>
      </w:pPr>
      <w:r w:rsidRPr="00B21EE8">
        <w:rPr>
          <w:color w:val="auto"/>
        </w:rPr>
        <w:t xml:space="preserve">Escalating concerns beyond the trust </w:t>
      </w:r>
    </w:p>
    <w:p w14:paraId="152AC501" w14:textId="2F193A5D" w:rsidR="00E81487" w:rsidRDefault="00B21EE8">
      <w:pPr>
        <w:ind w:left="-5"/>
      </w:pPr>
      <w:proofErr w:type="spellStart"/>
      <w:r>
        <w:t>Conisbrough</w:t>
      </w:r>
      <w:proofErr w:type="spellEnd"/>
      <w:r>
        <w:t xml:space="preserve"> Ivanhoe Primary Academy </w:t>
      </w:r>
      <w:r w:rsidR="00CB3497">
        <w:t xml:space="preserve">encourages staff to raise their concerns internally, in line with section 4 of this policy, but recognises that staff may feel the need to report concerns to an external body.  </w:t>
      </w:r>
    </w:p>
    <w:p w14:paraId="24D4800C" w14:textId="77777777" w:rsidR="00E81487" w:rsidRDefault="00CB3497">
      <w:pPr>
        <w:spacing w:after="186"/>
        <w:ind w:left="-5"/>
      </w:pPr>
      <w:r>
        <w:t xml:space="preserve">The Protect advice line, linked to in section 3 of this policy, can also help staff when deciding whether to raise the concern to an external party.  </w:t>
      </w:r>
    </w:p>
    <w:p w14:paraId="0741072F" w14:textId="77777777" w:rsidR="00E81487" w:rsidRPr="00B21EE8" w:rsidRDefault="00CB3497" w:rsidP="00844F4A">
      <w:pPr>
        <w:pStyle w:val="Heading1"/>
        <w:numPr>
          <w:ilvl w:val="0"/>
          <w:numId w:val="9"/>
        </w:numPr>
        <w:ind w:left="299"/>
        <w:rPr>
          <w:color w:val="auto"/>
        </w:rPr>
      </w:pPr>
      <w:r w:rsidRPr="00B21EE8">
        <w:rPr>
          <w:color w:val="auto"/>
        </w:rPr>
        <w:t xml:space="preserve">Approval </w:t>
      </w:r>
    </w:p>
    <w:p w14:paraId="64BD39BD" w14:textId="77777777" w:rsidR="00E81487" w:rsidRDefault="00CB3497">
      <w:pPr>
        <w:ind w:left="-5"/>
      </w:pPr>
      <w:r>
        <w:t xml:space="preserve">This policy will be reviewed every three years.  </w:t>
      </w:r>
    </w:p>
    <w:p w14:paraId="4A5CF32F" w14:textId="77777777" w:rsidR="00E81487" w:rsidRDefault="00CB3497">
      <w:pPr>
        <w:spacing w:after="183"/>
        <w:ind w:left="-5"/>
      </w:pPr>
      <w:r>
        <w:t xml:space="preserve">These procedures have been agreed by the board of trustees, who will approve them whenever reviewed.  </w:t>
      </w:r>
    </w:p>
    <w:p w14:paraId="6AEA1EA6" w14:textId="77777777" w:rsidR="00E81487" w:rsidRPr="00B21EE8" w:rsidRDefault="00CB3497" w:rsidP="00844F4A">
      <w:pPr>
        <w:pStyle w:val="Heading1"/>
        <w:numPr>
          <w:ilvl w:val="0"/>
          <w:numId w:val="9"/>
        </w:numPr>
        <w:ind w:left="297"/>
        <w:rPr>
          <w:color w:val="auto"/>
        </w:rPr>
      </w:pPr>
      <w:r w:rsidRPr="00B21EE8">
        <w:rPr>
          <w:color w:val="auto"/>
        </w:rPr>
        <w:t xml:space="preserve">Links with other policies </w:t>
      </w:r>
    </w:p>
    <w:p w14:paraId="32A6B892" w14:textId="77777777" w:rsidR="00E81487" w:rsidRDefault="00CB3497">
      <w:pPr>
        <w:ind w:left="-5"/>
      </w:pPr>
      <w:r>
        <w:t xml:space="preserve">This policy links with our policies on: </w:t>
      </w:r>
    </w:p>
    <w:p w14:paraId="41039307" w14:textId="77777777" w:rsidR="00E81487" w:rsidRDefault="00CB3497">
      <w:pPr>
        <w:ind w:left="180"/>
      </w:pPr>
      <w:r>
        <w:rPr>
          <w:noProof/>
        </w:rPr>
        <w:drawing>
          <wp:inline distT="0" distB="0" distL="0" distR="0" wp14:anchorId="3C2D5551" wp14:editId="322ED832">
            <wp:extent cx="64135" cy="101598"/>
            <wp:effectExtent l="0" t="0" r="0" b="0"/>
            <wp:docPr id="773" name="Picture 773"/>
            <wp:cNvGraphicFramePr/>
            <a:graphic xmlns:a="http://schemas.openxmlformats.org/drawingml/2006/main">
              <a:graphicData uri="http://schemas.openxmlformats.org/drawingml/2006/picture">
                <pic:pic xmlns:pic="http://schemas.openxmlformats.org/drawingml/2006/picture">
                  <pic:nvPicPr>
                    <pic:cNvPr id="773" name="Picture 773"/>
                    <pic:cNvPicPr/>
                  </pic:nvPicPr>
                  <pic:blipFill>
                    <a:blip r:embed="rId19"/>
                    <a:stretch>
                      <a:fillRect/>
                    </a:stretch>
                  </pic:blipFill>
                  <pic:spPr>
                    <a:xfrm>
                      <a:off x="0" y="0"/>
                      <a:ext cx="64135" cy="101598"/>
                    </a:xfrm>
                    <a:prstGeom prst="rect">
                      <a:avLst/>
                    </a:prstGeom>
                  </pic:spPr>
                </pic:pic>
              </a:graphicData>
            </a:graphic>
          </wp:inline>
        </w:drawing>
      </w:r>
      <w:r>
        <w:t xml:space="preserve"> Staff grievance policy </w:t>
      </w:r>
    </w:p>
    <w:p w14:paraId="412C5327" w14:textId="77777777" w:rsidR="00E81487" w:rsidRDefault="00CB3497">
      <w:pPr>
        <w:ind w:left="180"/>
      </w:pPr>
      <w:r>
        <w:rPr>
          <w:noProof/>
        </w:rPr>
        <w:drawing>
          <wp:inline distT="0" distB="0" distL="0" distR="0" wp14:anchorId="4A28D2DA" wp14:editId="1B2DC320">
            <wp:extent cx="64135" cy="101598"/>
            <wp:effectExtent l="0" t="0" r="0" b="0"/>
            <wp:docPr id="778" name="Picture 778"/>
            <wp:cNvGraphicFramePr/>
            <a:graphic xmlns:a="http://schemas.openxmlformats.org/drawingml/2006/main">
              <a:graphicData uri="http://schemas.openxmlformats.org/drawingml/2006/picture">
                <pic:pic xmlns:pic="http://schemas.openxmlformats.org/drawingml/2006/picture">
                  <pic:nvPicPr>
                    <pic:cNvPr id="778" name="Picture 778"/>
                    <pic:cNvPicPr/>
                  </pic:nvPicPr>
                  <pic:blipFill>
                    <a:blip r:embed="rId19"/>
                    <a:stretch>
                      <a:fillRect/>
                    </a:stretch>
                  </pic:blipFill>
                  <pic:spPr>
                    <a:xfrm>
                      <a:off x="0" y="0"/>
                      <a:ext cx="64135" cy="101598"/>
                    </a:xfrm>
                    <a:prstGeom prst="rect">
                      <a:avLst/>
                    </a:prstGeom>
                  </pic:spPr>
                </pic:pic>
              </a:graphicData>
            </a:graphic>
          </wp:inline>
        </w:drawing>
      </w:r>
      <w:r>
        <w:t xml:space="preserve"> Complaints procedure </w:t>
      </w:r>
    </w:p>
    <w:p w14:paraId="080A8267" w14:textId="591F7D78" w:rsidR="00E81487" w:rsidRDefault="00CB3497" w:rsidP="00B21EE8">
      <w:pPr>
        <w:ind w:left="180"/>
      </w:pPr>
      <w:r>
        <w:rPr>
          <w:noProof/>
        </w:rPr>
        <w:drawing>
          <wp:inline distT="0" distB="0" distL="0" distR="0" wp14:anchorId="45A35281" wp14:editId="25A0FB54">
            <wp:extent cx="64135" cy="102234"/>
            <wp:effectExtent l="0" t="0" r="0" b="0"/>
            <wp:docPr id="783" name="Picture 783"/>
            <wp:cNvGraphicFramePr/>
            <a:graphic xmlns:a="http://schemas.openxmlformats.org/drawingml/2006/main">
              <a:graphicData uri="http://schemas.openxmlformats.org/drawingml/2006/picture">
                <pic:pic xmlns:pic="http://schemas.openxmlformats.org/drawingml/2006/picture">
                  <pic:nvPicPr>
                    <pic:cNvPr id="783" name="Picture 783"/>
                    <pic:cNvPicPr/>
                  </pic:nvPicPr>
                  <pic:blipFill>
                    <a:blip r:embed="rId19"/>
                    <a:stretch>
                      <a:fillRect/>
                    </a:stretch>
                  </pic:blipFill>
                  <pic:spPr>
                    <a:xfrm>
                      <a:off x="0" y="0"/>
                      <a:ext cx="64135" cy="102234"/>
                    </a:xfrm>
                    <a:prstGeom prst="rect">
                      <a:avLst/>
                    </a:prstGeom>
                  </pic:spPr>
                </pic:pic>
              </a:graphicData>
            </a:graphic>
          </wp:inline>
        </w:drawing>
      </w:r>
      <w:r>
        <w:t xml:space="preserve"> </w:t>
      </w:r>
      <w:r w:rsidR="00B21EE8">
        <w:t xml:space="preserve">Safeguarding and </w:t>
      </w:r>
      <w:r>
        <w:t xml:space="preserve">Child protection policy </w:t>
      </w:r>
    </w:p>
    <w:sectPr w:rsidR="00E81487">
      <w:footerReference w:type="even" r:id="rId25"/>
      <w:footerReference w:type="default" r:id="rId26"/>
      <w:footerReference w:type="first" r:id="rId27"/>
      <w:pgSz w:w="11899" w:h="16841"/>
      <w:pgMar w:top="1625" w:right="1080" w:bottom="1761" w:left="1078" w:header="720" w:footer="3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98960" w14:textId="77777777" w:rsidR="001F415F" w:rsidRDefault="00CB3497">
      <w:pPr>
        <w:spacing w:after="0" w:line="240" w:lineRule="auto"/>
      </w:pPr>
      <w:r>
        <w:separator/>
      </w:r>
    </w:p>
  </w:endnote>
  <w:endnote w:type="continuationSeparator" w:id="0">
    <w:p w14:paraId="0E08C47C" w14:textId="77777777" w:rsidR="001F415F" w:rsidRDefault="00CB3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B9934" w14:textId="77777777" w:rsidR="00E81487" w:rsidRDefault="00CB3497">
    <w:pPr>
      <w:spacing w:after="0" w:line="259" w:lineRule="auto"/>
      <w:ind w:left="0" w:firstLine="0"/>
    </w:pPr>
    <w:r>
      <w:rPr>
        <w:sz w:val="16"/>
      </w:rPr>
      <w:t>Page</w:t>
    </w:r>
    <w:r>
      <w:rPr>
        <w:b/>
        <w:color w:val="808080"/>
        <w:sz w:val="16"/>
      </w:rPr>
      <w:t xml:space="preserve"> </w:t>
    </w:r>
    <w:r>
      <w:rPr>
        <w:b/>
        <w:color w:val="FF1F64"/>
        <w:sz w:val="16"/>
      </w:rPr>
      <w:t>|</w:t>
    </w:r>
    <w:r>
      <w:rPr>
        <w:color w:val="808080"/>
        <w:sz w:val="16"/>
      </w:rPr>
      <w:t xml:space="preserve"> </w:t>
    </w:r>
    <w:r>
      <w:fldChar w:fldCharType="begin"/>
    </w:r>
    <w:r>
      <w:instrText xml:space="preserve"> PAGE   \* MERGEFORMAT </w:instrText>
    </w:r>
    <w:r>
      <w:fldChar w:fldCharType="separate"/>
    </w:r>
    <w:r>
      <w:rPr>
        <w:sz w:val="16"/>
      </w:rPr>
      <w:t>1</w:t>
    </w:r>
    <w:r>
      <w:rPr>
        <w:sz w:val="16"/>
      </w:rPr>
      <w:fldChar w:fldCharType="end"/>
    </w: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BCAF0" w14:textId="016A82B5" w:rsidR="00E81487" w:rsidRDefault="00E81487">
    <w:pPr>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D144B" w14:textId="77777777" w:rsidR="00E81487" w:rsidRDefault="00CB3497">
    <w:pPr>
      <w:spacing w:after="0" w:line="259" w:lineRule="auto"/>
      <w:ind w:left="0" w:firstLine="0"/>
    </w:pPr>
    <w:r>
      <w:rPr>
        <w:sz w:val="16"/>
      </w:rPr>
      <w:t>Page</w:t>
    </w:r>
    <w:r>
      <w:rPr>
        <w:b/>
        <w:color w:val="808080"/>
        <w:sz w:val="16"/>
      </w:rPr>
      <w:t xml:space="preserve"> </w:t>
    </w:r>
    <w:r>
      <w:rPr>
        <w:b/>
        <w:color w:val="FF1F64"/>
        <w:sz w:val="16"/>
      </w:rPr>
      <w:t>|</w:t>
    </w:r>
    <w:r>
      <w:rPr>
        <w:color w:val="808080"/>
        <w:sz w:val="16"/>
      </w:rPr>
      <w:t xml:space="preserve"> </w:t>
    </w:r>
    <w:r>
      <w:fldChar w:fldCharType="begin"/>
    </w:r>
    <w:r>
      <w:instrText xml:space="preserve"> PAGE   \* MERGEFORMAT </w:instrText>
    </w:r>
    <w:r>
      <w:fldChar w:fldCharType="separate"/>
    </w:r>
    <w:r>
      <w:rPr>
        <w:sz w:val="16"/>
      </w:rPr>
      <w:t>1</w:t>
    </w:r>
    <w:r>
      <w:rPr>
        <w:sz w:val="16"/>
      </w:rPr>
      <w:fldChar w:fldCharType="end"/>
    </w:r>
    <w:r>
      <w:rPr>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67E8A" w14:textId="77777777" w:rsidR="001F415F" w:rsidRDefault="00CB3497">
      <w:pPr>
        <w:spacing w:after="0" w:line="240" w:lineRule="auto"/>
      </w:pPr>
      <w:r>
        <w:separator/>
      </w:r>
    </w:p>
  </w:footnote>
  <w:footnote w:type="continuationSeparator" w:id="0">
    <w:p w14:paraId="3469AE37" w14:textId="77777777" w:rsidR="001F415F" w:rsidRDefault="00CB34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8" o:spid="_x0000_i2481" type="#_x0000_t75" style="width:10.5pt;height:16.5pt;visibility:visible;mso-wrap-style:square" o:bullet="t">
        <v:imagedata r:id="rId1" o:title=""/>
      </v:shape>
    </w:pict>
  </w:numPicBullet>
  <w:abstractNum w:abstractNumId="0" w15:restartNumberingAfterBreak="0">
    <w:nsid w:val="04304671"/>
    <w:multiLevelType w:val="hybridMultilevel"/>
    <w:tmpl w:val="523C5D14"/>
    <w:lvl w:ilvl="0" w:tplc="292274A6">
      <w:start w:val="1"/>
      <w:numFmt w:val="bullet"/>
      <w:lvlText w:val=""/>
      <w:lvlPicBulletId w:val="0"/>
      <w:lvlJc w:val="left"/>
      <w:pPr>
        <w:tabs>
          <w:tab w:val="num" w:pos="540"/>
        </w:tabs>
        <w:ind w:left="540" w:hanging="360"/>
      </w:pPr>
      <w:rPr>
        <w:rFonts w:ascii="Symbol" w:hAnsi="Symbol" w:hint="default"/>
      </w:rPr>
    </w:lvl>
    <w:lvl w:ilvl="1" w:tplc="6E064D68" w:tentative="1">
      <w:start w:val="1"/>
      <w:numFmt w:val="bullet"/>
      <w:lvlText w:val=""/>
      <w:lvlJc w:val="left"/>
      <w:pPr>
        <w:tabs>
          <w:tab w:val="num" w:pos="1260"/>
        </w:tabs>
        <w:ind w:left="1260" w:hanging="360"/>
      </w:pPr>
      <w:rPr>
        <w:rFonts w:ascii="Symbol" w:hAnsi="Symbol" w:hint="default"/>
      </w:rPr>
    </w:lvl>
    <w:lvl w:ilvl="2" w:tplc="121C424A" w:tentative="1">
      <w:start w:val="1"/>
      <w:numFmt w:val="bullet"/>
      <w:lvlText w:val=""/>
      <w:lvlJc w:val="left"/>
      <w:pPr>
        <w:tabs>
          <w:tab w:val="num" w:pos="1980"/>
        </w:tabs>
        <w:ind w:left="1980" w:hanging="360"/>
      </w:pPr>
      <w:rPr>
        <w:rFonts w:ascii="Symbol" w:hAnsi="Symbol" w:hint="default"/>
      </w:rPr>
    </w:lvl>
    <w:lvl w:ilvl="3" w:tplc="6B5AFD3E" w:tentative="1">
      <w:start w:val="1"/>
      <w:numFmt w:val="bullet"/>
      <w:lvlText w:val=""/>
      <w:lvlJc w:val="left"/>
      <w:pPr>
        <w:tabs>
          <w:tab w:val="num" w:pos="2700"/>
        </w:tabs>
        <w:ind w:left="2700" w:hanging="360"/>
      </w:pPr>
      <w:rPr>
        <w:rFonts w:ascii="Symbol" w:hAnsi="Symbol" w:hint="default"/>
      </w:rPr>
    </w:lvl>
    <w:lvl w:ilvl="4" w:tplc="E17E38D0" w:tentative="1">
      <w:start w:val="1"/>
      <w:numFmt w:val="bullet"/>
      <w:lvlText w:val=""/>
      <w:lvlJc w:val="left"/>
      <w:pPr>
        <w:tabs>
          <w:tab w:val="num" w:pos="3420"/>
        </w:tabs>
        <w:ind w:left="3420" w:hanging="360"/>
      </w:pPr>
      <w:rPr>
        <w:rFonts w:ascii="Symbol" w:hAnsi="Symbol" w:hint="default"/>
      </w:rPr>
    </w:lvl>
    <w:lvl w:ilvl="5" w:tplc="09C4F762" w:tentative="1">
      <w:start w:val="1"/>
      <w:numFmt w:val="bullet"/>
      <w:lvlText w:val=""/>
      <w:lvlJc w:val="left"/>
      <w:pPr>
        <w:tabs>
          <w:tab w:val="num" w:pos="4140"/>
        </w:tabs>
        <w:ind w:left="4140" w:hanging="360"/>
      </w:pPr>
      <w:rPr>
        <w:rFonts w:ascii="Symbol" w:hAnsi="Symbol" w:hint="default"/>
      </w:rPr>
    </w:lvl>
    <w:lvl w:ilvl="6" w:tplc="06A2E794" w:tentative="1">
      <w:start w:val="1"/>
      <w:numFmt w:val="bullet"/>
      <w:lvlText w:val=""/>
      <w:lvlJc w:val="left"/>
      <w:pPr>
        <w:tabs>
          <w:tab w:val="num" w:pos="4860"/>
        </w:tabs>
        <w:ind w:left="4860" w:hanging="360"/>
      </w:pPr>
      <w:rPr>
        <w:rFonts w:ascii="Symbol" w:hAnsi="Symbol" w:hint="default"/>
      </w:rPr>
    </w:lvl>
    <w:lvl w:ilvl="7" w:tplc="96DAD3E2" w:tentative="1">
      <w:start w:val="1"/>
      <w:numFmt w:val="bullet"/>
      <w:lvlText w:val=""/>
      <w:lvlJc w:val="left"/>
      <w:pPr>
        <w:tabs>
          <w:tab w:val="num" w:pos="5580"/>
        </w:tabs>
        <w:ind w:left="5580" w:hanging="360"/>
      </w:pPr>
      <w:rPr>
        <w:rFonts w:ascii="Symbol" w:hAnsi="Symbol" w:hint="default"/>
      </w:rPr>
    </w:lvl>
    <w:lvl w:ilvl="8" w:tplc="38986992" w:tentative="1">
      <w:start w:val="1"/>
      <w:numFmt w:val="bullet"/>
      <w:lvlText w:val=""/>
      <w:lvlJc w:val="left"/>
      <w:pPr>
        <w:tabs>
          <w:tab w:val="num" w:pos="6300"/>
        </w:tabs>
        <w:ind w:left="6300" w:hanging="360"/>
      </w:pPr>
      <w:rPr>
        <w:rFonts w:ascii="Symbol" w:hAnsi="Symbol" w:hint="default"/>
      </w:rPr>
    </w:lvl>
  </w:abstractNum>
  <w:abstractNum w:abstractNumId="1" w15:restartNumberingAfterBreak="0">
    <w:nsid w:val="04D7504C"/>
    <w:multiLevelType w:val="hybridMultilevel"/>
    <w:tmpl w:val="4F4CA5A8"/>
    <w:lvl w:ilvl="0" w:tplc="CAA4B12E">
      <w:start w:val="1"/>
      <w:numFmt w:val="decimal"/>
      <w:lvlText w:val="%1."/>
      <w:lvlJc w:val="left"/>
      <w:pPr>
        <w:ind w:left="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9EA113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30C9FF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DFEBC0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F664CC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C3839B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96636C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794E28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784F0A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46B4439"/>
    <w:multiLevelType w:val="multilevel"/>
    <w:tmpl w:val="F7F03806"/>
    <w:lvl w:ilvl="0">
      <w:start w:val="1"/>
      <w:numFmt w:val="decimal"/>
      <w:pStyle w:val="Heading1"/>
      <w:lvlText w:val="%1."/>
      <w:lvlJc w:val="left"/>
      <w:pPr>
        <w:ind w:left="0"/>
      </w:pPr>
      <w:rPr>
        <w:rFonts w:ascii="Arial" w:eastAsia="Arial" w:hAnsi="Arial" w:cs="Arial"/>
        <w:b/>
        <w:bCs/>
        <w:i w:val="0"/>
        <w:strike w:val="0"/>
        <w:dstrike w:val="0"/>
        <w:color w:val="FF1F64"/>
        <w:sz w:val="28"/>
        <w:szCs w:val="28"/>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12263F"/>
        <w:sz w:val="24"/>
        <w:szCs w:val="24"/>
        <w:u w:val="none" w:color="000000"/>
        <w:bdr w:val="none" w:sz="0" w:space="0" w:color="auto"/>
        <w:shd w:val="clear" w:color="auto" w:fill="auto"/>
        <w:vertAlign w:val="baseline"/>
      </w:rPr>
    </w:lvl>
  </w:abstractNum>
  <w:abstractNum w:abstractNumId="3" w15:restartNumberingAfterBreak="0">
    <w:nsid w:val="28B56184"/>
    <w:multiLevelType w:val="hybridMultilevel"/>
    <w:tmpl w:val="B7FAA5A4"/>
    <w:lvl w:ilvl="0" w:tplc="292274A6">
      <w:start w:val="1"/>
      <w:numFmt w:val="bullet"/>
      <w:lvlText w:val=""/>
      <w:lvlPicBulletId w:val="0"/>
      <w:lvlJc w:val="left"/>
      <w:pPr>
        <w:tabs>
          <w:tab w:val="num" w:pos="540"/>
        </w:tabs>
        <w:ind w:left="5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B789C"/>
    <w:multiLevelType w:val="hybridMultilevel"/>
    <w:tmpl w:val="3A064D1E"/>
    <w:lvl w:ilvl="0" w:tplc="0809000F">
      <w:start w:val="1"/>
      <w:numFmt w:val="decimal"/>
      <w:lvlText w:val="%1."/>
      <w:lvlJc w:val="left"/>
      <w:pPr>
        <w:ind w:left="439" w:hanging="360"/>
      </w:pPr>
      <w:rPr>
        <w:rFonts w:hint="default"/>
      </w:rPr>
    </w:lvl>
    <w:lvl w:ilvl="1" w:tplc="08090019">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5" w15:restartNumberingAfterBreak="0">
    <w:nsid w:val="3A1B6997"/>
    <w:multiLevelType w:val="hybridMultilevel"/>
    <w:tmpl w:val="2546399A"/>
    <w:lvl w:ilvl="0" w:tplc="0809000F">
      <w:start w:val="5"/>
      <w:numFmt w:val="decimal"/>
      <w:lvlText w:val="%1."/>
      <w:lvlJc w:val="left"/>
      <w:pPr>
        <w:ind w:left="387" w:hanging="360"/>
      </w:pPr>
      <w:rPr>
        <w:rFonts w:hint="default"/>
      </w:rPr>
    </w:lvl>
    <w:lvl w:ilvl="1" w:tplc="08090019">
      <w:start w:val="1"/>
      <w:numFmt w:val="lowerLetter"/>
      <w:lvlText w:val="%2."/>
      <w:lvlJc w:val="left"/>
      <w:pPr>
        <w:ind w:left="1107" w:hanging="360"/>
      </w:pPr>
    </w:lvl>
    <w:lvl w:ilvl="2" w:tplc="0809001B" w:tentative="1">
      <w:start w:val="1"/>
      <w:numFmt w:val="lowerRoman"/>
      <w:lvlText w:val="%3."/>
      <w:lvlJc w:val="right"/>
      <w:pPr>
        <w:ind w:left="1827" w:hanging="180"/>
      </w:pPr>
    </w:lvl>
    <w:lvl w:ilvl="3" w:tplc="0809000F" w:tentative="1">
      <w:start w:val="1"/>
      <w:numFmt w:val="decimal"/>
      <w:lvlText w:val="%4."/>
      <w:lvlJc w:val="left"/>
      <w:pPr>
        <w:ind w:left="2547" w:hanging="360"/>
      </w:pPr>
    </w:lvl>
    <w:lvl w:ilvl="4" w:tplc="08090019" w:tentative="1">
      <w:start w:val="1"/>
      <w:numFmt w:val="lowerLetter"/>
      <w:lvlText w:val="%5."/>
      <w:lvlJc w:val="left"/>
      <w:pPr>
        <w:ind w:left="3267" w:hanging="360"/>
      </w:pPr>
    </w:lvl>
    <w:lvl w:ilvl="5" w:tplc="0809001B" w:tentative="1">
      <w:start w:val="1"/>
      <w:numFmt w:val="lowerRoman"/>
      <w:lvlText w:val="%6."/>
      <w:lvlJc w:val="right"/>
      <w:pPr>
        <w:ind w:left="3987" w:hanging="180"/>
      </w:pPr>
    </w:lvl>
    <w:lvl w:ilvl="6" w:tplc="0809000F" w:tentative="1">
      <w:start w:val="1"/>
      <w:numFmt w:val="decimal"/>
      <w:lvlText w:val="%7."/>
      <w:lvlJc w:val="left"/>
      <w:pPr>
        <w:ind w:left="4707" w:hanging="360"/>
      </w:pPr>
    </w:lvl>
    <w:lvl w:ilvl="7" w:tplc="08090019" w:tentative="1">
      <w:start w:val="1"/>
      <w:numFmt w:val="lowerLetter"/>
      <w:lvlText w:val="%8."/>
      <w:lvlJc w:val="left"/>
      <w:pPr>
        <w:ind w:left="5427" w:hanging="360"/>
      </w:pPr>
    </w:lvl>
    <w:lvl w:ilvl="8" w:tplc="0809001B" w:tentative="1">
      <w:start w:val="1"/>
      <w:numFmt w:val="lowerRoman"/>
      <w:lvlText w:val="%9."/>
      <w:lvlJc w:val="right"/>
      <w:pPr>
        <w:ind w:left="6147" w:hanging="180"/>
      </w:pPr>
    </w:lvl>
  </w:abstractNum>
  <w:abstractNum w:abstractNumId="6" w15:restartNumberingAfterBreak="0">
    <w:nsid w:val="5D026962"/>
    <w:multiLevelType w:val="hybridMultilevel"/>
    <w:tmpl w:val="4BB283AE"/>
    <w:lvl w:ilvl="0" w:tplc="32DEF9A0">
      <w:start w:val="1"/>
      <w:numFmt w:val="bullet"/>
      <w:lvlText w:val="o"/>
      <w:lvlJc w:val="left"/>
      <w:pPr>
        <w:ind w:left="99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F0DCE04E">
      <w:start w:val="1"/>
      <w:numFmt w:val="bullet"/>
      <w:lvlText w:val="o"/>
      <w:lvlJc w:val="left"/>
      <w:pPr>
        <w:ind w:left="171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8F16B100">
      <w:start w:val="1"/>
      <w:numFmt w:val="bullet"/>
      <w:lvlText w:val="▪"/>
      <w:lvlJc w:val="left"/>
      <w:pPr>
        <w:ind w:left="243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E1D8A214">
      <w:start w:val="1"/>
      <w:numFmt w:val="bullet"/>
      <w:lvlText w:val="•"/>
      <w:lvlJc w:val="left"/>
      <w:pPr>
        <w:ind w:left="315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4B5215CA">
      <w:start w:val="1"/>
      <w:numFmt w:val="bullet"/>
      <w:lvlText w:val="o"/>
      <w:lvlJc w:val="left"/>
      <w:pPr>
        <w:ind w:left="387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25B03012">
      <w:start w:val="1"/>
      <w:numFmt w:val="bullet"/>
      <w:lvlText w:val="▪"/>
      <w:lvlJc w:val="left"/>
      <w:pPr>
        <w:ind w:left="459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A2D8C61C">
      <w:start w:val="1"/>
      <w:numFmt w:val="bullet"/>
      <w:lvlText w:val="•"/>
      <w:lvlJc w:val="left"/>
      <w:pPr>
        <w:ind w:left="531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C0E81F00">
      <w:start w:val="1"/>
      <w:numFmt w:val="bullet"/>
      <w:lvlText w:val="o"/>
      <w:lvlJc w:val="left"/>
      <w:pPr>
        <w:ind w:left="603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B769C0E">
      <w:start w:val="1"/>
      <w:numFmt w:val="bullet"/>
      <w:lvlText w:val="▪"/>
      <w:lvlJc w:val="left"/>
      <w:pPr>
        <w:ind w:left="675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2DD1090"/>
    <w:multiLevelType w:val="hybridMultilevel"/>
    <w:tmpl w:val="28BC1D96"/>
    <w:lvl w:ilvl="0" w:tplc="6C30DD54">
      <w:start w:val="1"/>
      <w:numFmt w:val="bullet"/>
      <w:lvlText w:val=""/>
      <w:lvlPicBulletId w:val="0"/>
      <w:lvlJc w:val="left"/>
      <w:pPr>
        <w:tabs>
          <w:tab w:val="num" w:pos="530"/>
        </w:tabs>
        <w:ind w:left="530" w:hanging="360"/>
      </w:pPr>
      <w:rPr>
        <w:rFonts w:ascii="Symbol" w:hAnsi="Symbol" w:hint="default"/>
      </w:rPr>
    </w:lvl>
    <w:lvl w:ilvl="1" w:tplc="806AD3E8" w:tentative="1">
      <w:start w:val="1"/>
      <w:numFmt w:val="bullet"/>
      <w:lvlText w:val=""/>
      <w:lvlJc w:val="left"/>
      <w:pPr>
        <w:tabs>
          <w:tab w:val="num" w:pos="1250"/>
        </w:tabs>
        <w:ind w:left="1250" w:hanging="360"/>
      </w:pPr>
      <w:rPr>
        <w:rFonts w:ascii="Symbol" w:hAnsi="Symbol" w:hint="default"/>
      </w:rPr>
    </w:lvl>
    <w:lvl w:ilvl="2" w:tplc="04F4665A" w:tentative="1">
      <w:start w:val="1"/>
      <w:numFmt w:val="bullet"/>
      <w:lvlText w:val=""/>
      <w:lvlJc w:val="left"/>
      <w:pPr>
        <w:tabs>
          <w:tab w:val="num" w:pos="1970"/>
        </w:tabs>
        <w:ind w:left="1970" w:hanging="360"/>
      </w:pPr>
      <w:rPr>
        <w:rFonts w:ascii="Symbol" w:hAnsi="Symbol" w:hint="default"/>
      </w:rPr>
    </w:lvl>
    <w:lvl w:ilvl="3" w:tplc="09684864" w:tentative="1">
      <w:start w:val="1"/>
      <w:numFmt w:val="bullet"/>
      <w:lvlText w:val=""/>
      <w:lvlJc w:val="left"/>
      <w:pPr>
        <w:tabs>
          <w:tab w:val="num" w:pos="2690"/>
        </w:tabs>
        <w:ind w:left="2690" w:hanging="360"/>
      </w:pPr>
      <w:rPr>
        <w:rFonts w:ascii="Symbol" w:hAnsi="Symbol" w:hint="default"/>
      </w:rPr>
    </w:lvl>
    <w:lvl w:ilvl="4" w:tplc="A1A84E82" w:tentative="1">
      <w:start w:val="1"/>
      <w:numFmt w:val="bullet"/>
      <w:lvlText w:val=""/>
      <w:lvlJc w:val="left"/>
      <w:pPr>
        <w:tabs>
          <w:tab w:val="num" w:pos="3410"/>
        </w:tabs>
        <w:ind w:left="3410" w:hanging="360"/>
      </w:pPr>
      <w:rPr>
        <w:rFonts w:ascii="Symbol" w:hAnsi="Symbol" w:hint="default"/>
      </w:rPr>
    </w:lvl>
    <w:lvl w:ilvl="5" w:tplc="528E68F6" w:tentative="1">
      <w:start w:val="1"/>
      <w:numFmt w:val="bullet"/>
      <w:lvlText w:val=""/>
      <w:lvlJc w:val="left"/>
      <w:pPr>
        <w:tabs>
          <w:tab w:val="num" w:pos="4130"/>
        </w:tabs>
        <w:ind w:left="4130" w:hanging="360"/>
      </w:pPr>
      <w:rPr>
        <w:rFonts w:ascii="Symbol" w:hAnsi="Symbol" w:hint="default"/>
      </w:rPr>
    </w:lvl>
    <w:lvl w:ilvl="6" w:tplc="156C2690" w:tentative="1">
      <w:start w:val="1"/>
      <w:numFmt w:val="bullet"/>
      <w:lvlText w:val=""/>
      <w:lvlJc w:val="left"/>
      <w:pPr>
        <w:tabs>
          <w:tab w:val="num" w:pos="4850"/>
        </w:tabs>
        <w:ind w:left="4850" w:hanging="360"/>
      </w:pPr>
      <w:rPr>
        <w:rFonts w:ascii="Symbol" w:hAnsi="Symbol" w:hint="default"/>
      </w:rPr>
    </w:lvl>
    <w:lvl w:ilvl="7" w:tplc="CE763136" w:tentative="1">
      <w:start w:val="1"/>
      <w:numFmt w:val="bullet"/>
      <w:lvlText w:val=""/>
      <w:lvlJc w:val="left"/>
      <w:pPr>
        <w:tabs>
          <w:tab w:val="num" w:pos="5570"/>
        </w:tabs>
        <w:ind w:left="5570" w:hanging="360"/>
      </w:pPr>
      <w:rPr>
        <w:rFonts w:ascii="Symbol" w:hAnsi="Symbol" w:hint="default"/>
      </w:rPr>
    </w:lvl>
    <w:lvl w:ilvl="8" w:tplc="4268E504" w:tentative="1">
      <w:start w:val="1"/>
      <w:numFmt w:val="bullet"/>
      <w:lvlText w:val=""/>
      <w:lvlJc w:val="left"/>
      <w:pPr>
        <w:tabs>
          <w:tab w:val="num" w:pos="6290"/>
        </w:tabs>
        <w:ind w:left="6290" w:hanging="360"/>
      </w:pPr>
      <w:rPr>
        <w:rFonts w:ascii="Symbol" w:hAnsi="Symbol" w:hint="default"/>
      </w:rPr>
    </w:lvl>
  </w:abstractNum>
  <w:abstractNum w:abstractNumId="8" w15:restartNumberingAfterBreak="0">
    <w:nsid w:val="65B4037B"/>
    <w:multiLevelType w:val="hybridMultilevel"/>
    <w:tmpl w:val="711EE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4"/>
  </w:num>
  <w:num w:numId="5">
    <w:abstractNumId w:val="8"/>
  </w:num>
  <w:num w:numId="6">
    <w:abstractNumId w:val="7"/>
  </w:num>
  <w:num w:numId="7">
    <w:abstractNumId w:val="0"/>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487"/>
    <w:rsid w:val="001F415F"/>
    <w:rsid w:val="003969EF"/>
    <w:rsid w:val="00844F4A"/>
    <w:rsid w:val="00AB6B93"/>
    <w:rsid w:val="00B21EE8"/>
    <w:rsid w:val="00CB3497"/>
    <w:rsid w:val="00E81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970B9"/>
  <w15:docId w15:val="{39FD1B23-F7B8-4EE5-A1FF-C34AE7C0D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9" w:line="252"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numPr>
        <w:numId w:val="3"/>
      </w:numPr>
      <w:spacing w:after="18"/>
      <w:ind w:left="10" w:hanging="10"/>
      <w:outlineLvl w:val="0"/>
    </w:pPr>
    <w:rPr>
      <w:rFonts w:ascii="Arial" w:eastAsia="Arial" w:hAnsi="Arial" w:cs="Arial"/>
      <w:b/>
      <w:color w:val="FF1F64"/>
      <w:sz w:val="28"/>
    </w:rPr>
  </w:style>
  <w:style w:type="paragraph" w:styleId="Heading2">
    <w:name w:val="heading 2"/>
    <w:next w:val="Normal"/>
    <w:link w:val="Heading2Char"/>
    <w:uiPriority w:val="9"/>
    <w:unhideWhenUsed/>
    <w:qFormat/>
    <w:pPr>
      <w:keepNext/>
      <w:keepLines/>
      <w:numPr>
        <w:ilvl w:val="1"/>
        <w:numId w:val="3"/>
      </w:numPr>
      <w:spacing w:after="59"/>
      <w:ind w:left="10" w:hanging="10"/>
      <w:outlineLvl w:val="1"/>
    </w:pPr>
    <w:rPr>
      <w:rFonts w:ascii="Arial" w:eastAsia="Arial" w:hAnsi="Arial" w:cs="Arial"/>
      <w:b/>
      <w:color w:val="12263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12263F"/>
      <w:sz w:val="24"/>
    </w:rPr>
  </w:style>
  <w:style w:type="character" w:customStyle="1" w:styleId="Heading1Char">
    <w:name w:val="Heading 1 Char"/>
    <w:link w:val="Heading1"/>
    <w:rPr>
      <w:rFonts w:ascii="Arial" w:eastAsia="Arial" w:hAnsi="Arial" w:cs="Arial"/>
      <w:b/>
      <w:color w:val="FF1F64"/>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1bodycopy10pt">
    <w:name w:val="1 body copy 10pt"/>
    <w:basedOn w:val="Normal"/>
    <w:link w:val="1bodycopy10ptChar"/>
    <w:qFormat/>
    <w:rsid w:val="003969EF"/>
    <w:pPr>
      <w:spacing w:after="120" w:line="240" w:lineRule="auto"/>
      <w:ind w:left="0" w:firstLine="0"/>
    </w:pPr>
    <w:rPr>
      <w:rFonts w:eastAsia="MS Mincho" w:cs="Times New Roman"/>
      <w:color w:val="auto"/>
      <w:szCs w:val="24"/>
      <w:lang w:val="en-US" w:eastAsia="en-US"/>
    </w:rPr>
  </w:style>
  <w:style w:type="character" w:customStyle="1" w:styleId="1bodycopy10ptChar">
    <w:name w:val="1 body copy 10pt Char"/>
    <w:link w:val="1bodycopy10pt"/>
    <w:rsid w:val="003969EF"/>
    <w:rPr>
      <w:rFonts w:ascii="Arial" w:eastAsia="MS Mincho" w:hAnsi="Arial" w:cs="Times New Roman"/>
      <w:sz w:val="20"/>
      <w:szCs w:val="24"/>
      <w:lang w:val="en-US" w:eastAsia="en-US"/>
    </w:rPr>
  </w:style>
  <w:style w:type="paragraph" w:customStyle="1" w:styleId="1bodycopy11pt">
    <w:name w:val="1 body copy 11pt"/>
    <w:autoRedefine/>
    <w:rsid w:val="003969EF"/>
    <w:pPr>
      <w:spacing w:after="120" w:line="240" w:lineRule="auto"/>
      <w:ind w:right="850"/>
    </w:pPr>
    <w:rPr>
      <w:rFonts w:ascii="Arial" w:eastAsia="MS Mincho" w:hAnsi="Arial" w:cs="Arial"/>
      <w:szCs w:val="24"/>
      <w:lang w:val="en-US" w:eastAsia="en-US"/>
    </w:rPr>
  </w:style>
  <w:style w:type="paragraph" w:styleId="ListParagraph">
    <w:name w:val="List Paragraph"/>
    <w:basedOn w:val="Normal"/>
    <w:uiPriority w:val="34"/>
    <w:qFormat/>
    <w:rsid w:val="00AB6B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whistleblowing" TargetMode="External"/><Relationship Id="rId18" Type="http://schemas.openxmlformats.org/officeDocument/2006/relationships/hyperlink" Target="https://www.legislation.gov.uk/ukpga/1998/23/content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protect-advice.org.uk/what-is-the-difference-between-raising-a-grievance-and-whistleblowing/" TargetMode="External"/><Relationship Id="rId7" Type="http://schemas.openxmlformats.org/officeDocument/2006/relationships/image" Target="media/image2.jpg"/><Relationship Id="rId12" Type="http://schemas.openxmlformats.org/officeDocument/2006/relationships/hyperlink" Target="https://www.gov.uk/government/publications/academies-financial-handbook" TargetMode="External"/><Relationship Id="rId17" Type="http://schemas.openxmlformats.org/officeDocument/2006/relationships/hyperlink" Target="https://www.legislation.gov.uk/ukpga/1998/23/content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whistleblowing" TargetMode="External"/><Relationship Id="rId20" Type="http://schemas.openxmlformats.org/officeDocument/2006/relationships/hyperlink" Target="https://protect-advice.org.uk/what-is-the-difference-between-raising-a-grievance-and-whistleblowin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academies-financial-handbook" TargetMode="External"/><Relationship Id="rId24" Type="http://schemas.openxmlformats.org/officeDocument/2006/relationships/hyperlink" Target="https://www.pcaw.org.uk/advice-line/" TargetMode="External"/><Relationship Id="rId5" Type="http://schemas.openxmlformats.org/officeDocument/2006/relationships/footnotes" Target="footnotes.xml"/><Relationship Id="rId15" Type="http://schemas.openxmlformats.org/officeDocument/2006/relationships/hyperlink" Target="https://www.gov.uk/whistleblowing" TargetMode="External"/><Relationship Id="rId23" Type="http://schemas.openxmlformats.org/officeDocument/2006/relationships/hyperlink" Target="https://www.pcaw.org.uk/advice-line/" TargetMode="External"/><Relationship Id="rId28" Type="http://schemas.openxmlformats.org/officeDocument/2006/relationships/fontTable" Target="fontTable.xml"/><Relationship Id="rId10" Type="http://schemas.openxmlformats.org/officeDocument/2006/relationships/hyperlink" Target="https://www.gov.uk/government/publications/academies-financial-handbook"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gov.uk/government/publications/academies-financial-handbook" TargetMode="External"/><Relationship Id="rId14" Type="http://schemas.openxmlformats.org/officeDocument/2006/relationships/hyperlink" Target="https://www.gov.uk/whistleblowing" TargetMode="External"/><Relationship Id="rId22" Type="http://schemas.openxmlformats.org/officeDocument/2006/relationships/hyperlink" Target="https://protect-advice.org.uk/what-is-the-difference-between-raising-a-grievance-and-whistleblowing/" TargetMode="External"/><Relationship Id="rId27"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1520</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Wainwright</dc:creator>
  <cp:keywords/>
  <cp:lastModifiedBy>lisa Mills</cp:lastModifiedBy>
  <cp:revision>4</cp:revision>
  <dcterms:created xsi:type="dcterms:W3CDTF">2024-07-07T15:31:00Z</dcterms:created>
  <dcterms:modified xsi:type="dcterms:W3CDTF">2024-07-07T15:43:00Z</dcterms:modified>
</cp:coreProperties>
</file>